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bookmarkStart w:id="0" w:name="_GoBack"/>
      <w:bookmarkEnd w:id="0"/>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center"/>
        <w:rPr>
          <w:rFonts w:ascii="Arial" w:eastAsia="Times New Roman" w:hAnsi="Arial" w:cs="Arial"/>
          <w:color w:val="212529"/>
          <w:sz w:val="24"/>
          <w:szCs w:val="24"/>
          <w:lang w:eastAsia="ru-RU"/>
        </w:rPr>
      </w:pPr>
      <w:r w:rsidRPr="00F076B7">
        <w:rPr>
          <w:rFonts w:ascii="Arial" w:eastAsia="Times New Roman" w:hAnsi="Arial" w:cs="Arial"/>
          <w:b/>
          <w:bCs/>
          <w:color w:val="212529"/>
          <w:sz w:val="24"/>
          <w:szCs w:val="24"/>
          <w:lang w:eastAsia="ru-RU"/>
        </w:rPr>
        <w:t>СОВРЕМЕННЫЕ ПОДХОДЫ К РАЗВИТИЮ РЕГИОНОВ: ОТ ЭКОНОМИКИ ДО СОЦИАЛЬНОЙ ИНФРАСТРУКТУРЫ</w:t>
      </w:r>
    </w:p>
    <w:p w:rsidR="00F076B7" w:rsidRPr="00F076B7" w:rsidRDefault="00F076B7" w:rsidP="00F076B7">
      <w:pPr>
        <w:shd w:val="clear" w:color="auto" w:fill="FFFFFF"/>
        <w:spacing w:after="0" w:line="240" w:lineRule="auto"/>
        <w:jc w:val="center"/>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center"/>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(для работников предприятий реального сектора экономики)</w:t>
      </w:r>
    </w:p>
    <w:p w:rsidR="00F076B7" w:rsidRPr="00F076B7" w:rsidRDefault="00F076B7" w:rsidP="00F076B7">
      <w:pPr>
        <w:shd w:val="clear" w:color="auto" w:fill="FFFFFF"/>
        <w:spacing w:after="0" w:line="240" w:lineRule="auto"/>
        <w:jc w:val="center"/>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 xml:space="preserve">Вниманию </w:t>
      </w:r>
      <w:proofErr w:type="gramStart"/>
      <w:r w:rsidRPr="00F076B7">
        <w:rPr>
          <w:rFonts w:ascii="Arial" w:eastAsia="Times New Roman" w:hAnsi="Arial" w:cs="Arial"/>
          <w:b/>
          <w:bCs/>
          <w:i/>
          <w:iCs/>
          <w:color w:val="212529"/>
          <w:sz w:val="24"/>
          <w:szCs w:val="24"/>
          <w:lang w:eastAsia="ru-RU"/>
        </w:rPr>
        <w:t>выступающих</w:t>
      </w:r>
      <w:proofErr w:type="gramEnd"/>
      <w:r w:rsidRPr="00F076B7">
        <w:rPr>
          <w:rFonts w:ascii="Arial" w:eastAsia="Times New Roman" w:hAnsi="Arial" w:cs="Arial"/>
          <w:b/>
          <w:bCs/>
          <w:i/>
          <w:iCs/>
          <w:color w:val="212529"/>
          <w:sz w:val="24"/>
          <w:szCs w:val="24"/>
          <w:lang w:eastAsia="ru-RU"/>
        </w:rPr>
        <w:t>:</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Обеспечение комплексного развития регионов является одной из основных задач внутренней политики нашей страны.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«Сильные регионы» являлись одним из четырех приоритетов </w:t>
      </w:r>
      <w:hyperlink r:id="rId5" w:anchor="%D0%A3%D1%82%D0%B2_1" w:history="1">
        <w:r w:rsidRPr="00F076B7">
          <w:rPr>
            <w:rFonts w:ascii="Arial" w:eastAsia="Times New Roman" w:hAnsi="Arial" w:cs="Arial"/>
            <w:color w:val="000CFF"/>
            <w:sz w:val="24"/>
            <w:szCs w:val="24"/>
            <w:lang w:eastAsia="ru-RU"/>
          </w:rPr>
          <w:t>Программы</w:t>
        </w:r>
      </w:hyperlink>
      <w:r w:rsidRPr="00F076B7">
        <w:rPr>
          <w:rFonts w:ascii="Arial" w:eastAsia="Times New Roman" w:hAnsi="Arial" w:cs="Arial"/>
          <w:color w:val="212529"/>
          <w:sz w:val="24"/>
          <w:szCs w:val="24"/>
          <w:lang w:eastAsia="ru-RU"/>
        </w:rPr>
        <w:t> социально-экономического развития Республики Беларусь на 2021–2025 гг. </w:t>
      </w:r>
      <w:r w:rsidRPr="00F076B7">
        <w:rPr>
          <w:rFonts w:ascii="Arial" w:eastAsia="Times New Roman" w:hAnsi="Arial" w:cs="Arial"/>
          <w:i/>
          <w:iCs/>
          <w:color w:val="212529"/>
          <w:sz w:val="24"/>
          <w:szCs w:val="24"/>
          <w:lang w:eastAsia="ru-RU"/>
        </w:rPr>
        <w:t>(далее – Программа)</w:t>
      </w:r>
      <w:r w:rsidRPr="00F076B7">
        <w:rPr>
          <w:rFonts w:ascii="Arial" w:eastAsia="Times New Roman" w:hAnsi="Arial" w:cs="Arial"/>
          <w:color w:val="212529"/>
          <w:sz w:val="24"/>
          <w:szCs w:val="24"/>
          <w:lang w:eastAsia="ru-RU"/>
        </w:rPr>
        <w:t xml:space="preserve">. </w:t>
      </w:r>
      <w:proofErr w:type="gramStart"/>
      <w:r w:rsidRPr="00F076B7">
        <w:rPr>
          <w:rFonts w:ascii="Arial" w:eastAsia="Times New Roman" w:hAnsi="Arial" w:cs="Arial"/>
          <w:color w:val="212529"/>
          <w:sz w:val="24"/>
          <w:szCs w:val="24"/>
          <w:lang w:eastAsia="ru-RU"/>
        </w:rPr>
        <w:t>Мероприятия Программы были направлены как на развитие производственного потенциала регионов, так и на формирование комфортной и безопасной среды для проживания людей через ускоренное развитие инфраструктуры, современных средств связи, дистанционных и мобильных форм обслуживания.</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По итогам за 2021–2025 гг. всеми </w:t>
      </w:r>
      <w:r w:rsidRPr="00F076B7">
        <w:rPr>
          <w:rFonts w:ascii="Arial" w:eastAsia="Times New Roman" w:hAnsi="Arial" w:cs="Arial"/>
          <w:b/>
          <w:bCs/>
          <w:color w:val="212529"/>
          <w:sz w:val="24"/>
          <w:szCs w:val="24"/>
          <w:lang w:eastAsia="ru-RU"/>
        </w:rPr>
        <w:t>регионами выполнены целевые индикаторы</w:t>
      </w:r>
      <w:r w:rsidRPr="00F076B7">
        <w:rPr>
          <w:rFonts w:ascii="Arial" w:eastAsia="Times New Roman" w:hAnsi="Arial" w:cs="Arial"/>
          <w:color w:val="212529"/>
          <w:sz w:val="24"/>
          <w:szCs w:val="24"/>
          <w:lang w:eastAsia="ru-RU"/>
        </w:rPr>
        <w:t> Программы по темпам роста номинальной начисленной среднемесячной заработной платы и совокупных поступлений доходов в консолидированные бюджеты. Обеспечен прирост валового регионального продукта во всех регионах, от 101,8 % в Витебской области до 110,6 % – в Брестской области.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color w:val="212529"/>
          <w:sz w:val="24"/>
          <w:szCs w:val="24"/>
          <w:lang w:eastAsia="ru-RU"/>
        </w:rPr>
        <w:t>Промышленный комплекс регионов</w:t>
      </w:r>
      <w:r w:rsidRPr="00F076B7">
        <w:rPr>
          <w:rFonts w:ascii="Arial" w:eastAsia="Times New Roman" w:hAnsi="Arial" w:cs="Arial"/>
          <w:color w:val="212529"/>
          <w:sz w:val="24"/>
          <w:szCs w:val="24"/>
          <w:lang w:eastAsia="ru-RU"/>
        </w:rPr>
        <w:t>, несмотря на условия внешних санкций и ограничений, в 2021–2025 гг. </w:t>
      </w:r>
      <w:r w:rsidRPr="00F076B7">
        <w:rPr>
          <w:rFonts w:ascii="Arial" w:eastAsia="Times New Roman" w:hAnsi="Arial" w:cs="Arial"/>
          <w:b/>
          <w:bCs/>
          <w:color w:val="212529"/>
          <w:sz w:val="24"/>
          <w:szCs w:val="24"/>
          <w:lang w:eastAsia="ru-RU"/>
        </w:rPr>
        <w:t>доказал свою жизнеспособность, высокую адаптивность и продемонстрировал устойчивую работу</w:t>
      </w:r>
      <w:r w:rsidRPr="00F076B7">
        <w:rPr>
          <w:rFonts w:ascii="Arial" w:eastAsia="Times New Roman" w:hAnsi="Arial" w:cs="Arial"/>
          <w:color w:val="212529"/>
          <w:sz w:val="24"/>
          <w:szCs w:val="24"/>
          <w:lang w:eastAsia="ru-RU"/>
        </w:rPr>
        <w:t xml:space="preserve">. Это позволило не только сохранить объемы производства, но и сформировать новые точки роста, ориентированные на </w:t>
      </w:r>
      <w:proofErr w:type="spellStart"/>
      <w:r w:rsidRPr="00F076B7">
        <w:rPr>
          <w:rFonts w:ascii="Arial" w:eastAsia="Times New Roman" w:hAnsi="Arial" w:cs="Arial"/>
          <w:color w:val="212529"/>
          <w:sz w:val="24"/>
          <w:szCs w:val="24"/>
          <w:lang w:eastAsia="ru-RU"/>
        </w:rPr>
        <w:t>импортозамещение</w:t>
      </w:r>
      <w:proofErr w:type="spellEnd"/>
      <w:r w:rsidRPr="00F076B7">
        <w:rPr>
          <w:rFonts w:ascii="Arial" w:eastAsia="Times New Roman" w:hAnsi="Arial" w:cs="Arial"/>
          <w:color w:val="212529"/>
          <w:sz w:val="24"/>
          <w:szCs w:val="24"/>
          <w:lang w:eastAsia="ru-RU"/>
        </w:rPr>
        <w:t xml:space="preserve"> и глубокую переработку местного сырья.</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Созданы такие значимые для регионального развития производства как Белорусская АЭС, Петриковский горно-обогатительный комплекс, «Белорусская национальная биотехнологическая корпорация», комплекс гидрокрекинга тяжелых нефтяных остатков ОАО «</w:t>
      </w:r>
      <w:proofErr w:type="spellStart"/>
      <w:r w:rsidRPr="00F076B7">
        <w:rPr>
          <w:rFonts w:ascii="Arial" w:eastAsia="Times New Roman" w:hAnsi="Arial" w:cs="Arial"/>
          <w:color w:val="212529"/>
          <w:sz w:val="24"/>
          <w:szCs w:val="24"/>
          <w:lang w:eastAsia="ru-RU"/>
        </w:rPr>
        <w:t>Мозырский</w:t>
      </w:r>
      <w:proofErr w:type="spellEnd"/>
      <w:r w:rsidRPr="00F076B7">
        <w:rPr>
          <w:rFonts w:ascii="Arial" w:eastAsia="Times New Roman" w:hAnsi="Arial" w:cs="Arial"/>
          <w:color w:val="212529"/>
          <w:sz w:val="24"/>
          <w:szCs w:val="24"/>
          <w:lang w:eastAsia="ru-RU"/>
        </w:rPr>
        <w:t xml:space="preserve"> НПЗ», установка замедленного коксования в ОАО «</w:t>
      </w:r>
      <w:proofErr w:type="spellStart"/>
      <w:r w:rsidRPr="00F076B7">
        <w:rPr>
          <w:rFonts w:ascii="Arial" w:eastAsia="Times New Roman" w:hAnsi="Arial" w:cs="Arial"/>
          <w:color w:val="212529"/>
          <w:sz w:val="24"/>
          <w:szCs w:val="24"/>
          <w:lang w:eastAsia="ru-RU"/>
        </w:rPr>
        <w:t>Нафтан</w:t>
      </w:r>
      <w:proofErr w:type="spellEnd"/>
      <w:r w:rsidRPr="00F076B7">
        <w:rPr>
          <w:rFonts w:ascii="Arial" w:eastAsia="Times New Roman" w:hAnsi="Arial" w:cs="Arial"/>
          <w:color w:val="212529"/>
          <w:sz w:val="24"/>
          <w:szCs w:val="24"/>
          <w:lang w:eastAsia="ru-RU"/>
        </w:rPr>
        <w:t>», завершены ряд крупных проектов деревообработки </w:t>
      </w:r>
      <w:r w:rsidRPr="00F076B7">
        <w:rPr>
          <w:rFonts w:ascii="Arial" w:eastAsia="Times New Roman" w:hAnsi="Arial" w:cs="Arial"/>
          <w:i/>
          <w:iCs/>
          <w:color w:val="212529"/>
          <w:sz w:val="24"/>
          <w:szCs w:val="24"/>
          <w:lang w:eastAsia="ru-RU"/>
        </w:rPr>
        <w:t>(«</w:t>
      </w:r>
      <w:proofErr w:type="spellStart"/>
      <w:r w:rsidRPr="00F076B7">
        <w:rPr>
          <w:rFonts w:ascii="Arial" w:eastAsia="Times New Roman" w:hAnsi="Arial" w:cs="Arial"/>
          <w:i/>
          <w:iCs/>
          <w:color w:val="212529"/>
          <w:sz w:val="24"/>
          <w:szCs w:val="24"/>
          <w:lang w:eastAsia="ru-RU"/>
        </w:rPr>
        <w:t>Кроноспан</w:t>
      </w:r>
      <w:proofErr w:type="spellEnd"/>
      <w:r w:rsidRPr="00F076B7">
        <w:rPr>
          <w:rFonts w:ascii="Arial" w:eastAsia="Times New Roman" w:hAnsi="Arial" w:cs="Arial"/>
          <w:i/>
          <w:iCs/>
          <w:color w:val="212529"/>
          <w:sz w:val="24"/>
          <w:szCs w:val="24"/>
          <w:lang w:eastAsia="ru-RU"/>
        </w:rPr>
        <w:t xml:space="preserve">» и «ВМГ </w:t>
      </w:r>
      <w:proofErr w:type="spellStart"/>
      <w:r w:rsidRPr="00F076B7">
        <w:rPr>
          <w:rFonts w:ascii="Arial" w:eastAsia="Times New Roman" w:hAnsi="Arial" w:cs="Arial"/>
          <w:i/>
          <w:iCs/>
          <w:color w:val="212529"/>
          <w:sz w:val="24"/>
          <w:szCs w:val="24"/>
          <w:lang w:eastAsia="ru-RU"/>
        </w:rPr>
        <w:t>Вударт</w:t>
      </w:r>
      <w:proofErr w:type="spellEnd"/>
      <w:r w:rsidRPr="00F076B7">
        <w:rPr>
          <w:rFonts w:ascii="Arial" w:eastAsia="Times New Roman" w:hAnsi="Arial" w:cs="Arial"/>
          <w:i/>
          <w:iCs/>
          <w:color w:val="212529"/>
          <w:sz w:val="24"/>
          <w:szCs w:val="24"/>
          <w:lang w:eastAsia="ru-RU"/>
        </w:rPr>
        <w:t>»)</w:t>
      </w:r>
      <w:r w:rsidRPr="00F076B7">
        <w:rPr>
          <w:rFonts w:ascii="Arial" w:eastAsia="Times New Roman" w:hAnsi="Arial" w:cs="Arial"/>
          <w:color w:val="212529"/>
          <w:sz w:val="24"/>
          <w:szCs w:val="24"/>
          <w:lang w:eastAsia="ru-RU"/>
        </w:rPr>
        <w:t> и др.</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В рамках отраслевых и региональных планов мероприятий по </w:t>
      </w:r>
      <w:proofErr w:type="spellStart"/>
      <w:r w:rsidRPr="00F076B7">
        <w:rPr>
          <w:rFonts w:ascii="Arial" w:eastAsia="Times New Roman" w:hAnsi="Arial" w:cs="Arial"/>
          <w:color w:val="212529"/>
          <w:sz w:val="24"/>
          <w:szCs w:val="24"/>
          <w:lang w:eastAsia="ru-RU"/>
        </w:rPr>
        <w:t>импортозамещению</w:t>
      </w:r>
      <w:proofErr w:type="spellEnd"/>
      <w:r w:rsidRPr="00F076B7">
        <w:rPr>
          <w:rFonts w:ascii="Arial" w:eastAsia="Times New Roman" w:hAnsi="Arial" w:cs="Arial"/>
          <w:color w:val="212529"/>
          <w:sz w:val="24"/>
          <w:szCs w:val="24"/>
          <w:lang w:eastAsia="ru-RU"/>
        </w:rPr>
        <w:t xml:space="preserve"> в регионах в 2025 году реализовывалось 189 проектов на сумму 33,3 </w:t>
      </w:r>
      <w:proofErr w:type="gramStart"/>
      <w:r w:rsidRPr="00F076B7">
        <w:rPr>
          <w:rFonts w:ascii="Arial" w:eastAsia="Times New Roman" w:hAnsi="Arial" w:cs="Arial"/>
          <w:color w:val="212529"/>
          <w:sz w:val="24"/>
          <w:szCs w:val="24"/>
          <w:lang w:eastAsia="ru-RU"/>
        </w:rPr>
        <w:t>млрд</w:t>
      </w:r>
      <w:proofErr w:type="gramEnd"/>
      <w:r w:rsidRPr="00F076B7">
        <w:rPr>
          <w:rFonts w:ascii="Arial" w:eastAsia="Times New Roman" w:hAnsi="Arial" w:cs="Arial"/>
          <w:color w:val="212529"/>
          <w:sz w:val="24"/>
          <w:szCs w:val="24"/>
          <w:lang w:eastAsia="ru-RU"/>
        </w:rPr>
        <w:t xml:space="preserve"> рублей.</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Наиболее крупные проекты в областях: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Брестская область</w:t>
      </w:r>
      <w:r w:rsidRPr="00F076B7">
        <w:rPr>
          <w:rFonts w:ascii="Arial" w:eastAsia="Times New Roman" w:hAnsi="Arial" w:cs="Arial"/>
          <w:i/>
          <w:iCs/>
          <w:color w:val="212529"/>
          <w:sz w:val="24"/>
          <w:szCs w:val="24"/>
          <w:lang w:eastAsia="ru-RU"/>
        </w:rPr>
        <w:t>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Федерации, расширение действующего производства ДСП ОАО «</w:t>
      </w:r>
      <w:proofErr w:type="spellStart"/>
      <w:r w:rsidRPr="00F076B7">
        <w:rPr>
          <w:rFonts w:ascii="Arial" w:eastAsia="Times New Roman" w:hAnsi="Arial" w:cs="Arial"/>
          <w:i/>
          <w:iCs/>
          <w:color w:val="212529"/>
          <w:sz w:val="24"/>
          <w:szCs w:val="24"/>
          <w:lang w:eastAsia="ru-RU"/>
        </w:rPr>
        <w:t>Ивацевичдрев</w:t>
      </w:r>
      <w:proofErr w:type="spellEnd"/>
      <w:r w:rsidRPr="00F076B7">
        <w:rPr>
          <w:rFonts w:ascii="Arial" w:eastAsia="Times New Roman" w:hAnsi="Arial" w:cs="Arial"/>
          <w:i/>
          <w:iCs/>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Витебская область</w:t>
      </w:r>
      <w:r w:rsidRPr="00F076B7">
        <w:rPr>
          <w:rFonts w:ascii="Arial" w:eastAsia="Times New Roman" w:hAnsi="Arial" w:cs="Arial"/>
          <w:i/>
          <w:iCs/>
          <w:color w:val="212529"/>
          <w:sz w:val="24"/>
          <w:szCs w:val="24"/>
          <w:lang w:eastAsia="ru-RU"/>
        </w:rPr>
        <w:t> – строительство новой этиленпропиленовой установки на заводе «</w:t>
      </w:r>
      <w:proofErr w:type="spellStart"/>
      <w:r w:rsidRPr="00F076B7">
        <w:rPr>
          <w:rFonts w:ascii="Arial" w:eastAsia="Times New Roman" w:hAnsi="Arial" w:cs="Arial"/>
          <w:i/>
          <w:iCs/>
          <w:color w:val="212529"/>
          <w:sz w:val="24"/>
          <w:szCs w:val="24"/>
          <w:lang w:eastAsia="ru-RU"/>
        </w:rPr>
        <w:t>Полимир</w:t>
      </w:r>
      <w:proofErr w:type="spellEnd"/>
      <w:r w:rsidRPr="00F076B7">
        <w:rPr>
          <w:rFonts w:ascii="Arial" w:eastAsia="Times New Roman" w:hAnsi="Arial" w:cs="Arial"/>
          <w:i/>
          <w:iCs/>
          <w:color w:val="212529"/>
          <w:sz w:val="24"/>
          <w:szCs w:val="24"/>
          <w:lang w:eastAsia="ru-RU"/>
        </w:rPr>
        <w:t>» ОАО «</w:t>
      </w:r>
      <w:proofErr w:type="spellStart"/>
      <w:r w:rsidRPr="00F076B7">
        <w:rPr>
          <w:rFonts w:ascii="Arial" w:eastAsia="Times New Roman" w:hAnsi="Arial" w:cs="Arial"/>
          <w:i/>
          <w:iCs/>
          <w:color w:val="212529"/>
          <w:sz w:val="24"/>
          <w:szCs w:val="24"/>
          <w:lang w:eastAsia="ru-RU"/>
        </w:rPr>
        <w:t>Нафтан</w:t>
      </w:r>
      <w:proofErr w:type="spellEnd"/>
      <w:r w:rsidRPr="00F076B7">
        <w:rPr>
          <w:rFonts w:ascii="Arial" w:eastAsia="Times New Roman" w:hAnsi="Arial" w:cs="Arial"/>
          <w:i/>
          <w:iCs/>
          <w:color w:val="212529"/>
          <w:sz w:val="24"/>
          <w:szCs w:val="24"/>
          <w:lang w:eastAsia="ru-RU"/>
        </w:rPr>
        <w:t xml:space="preserve">», создание линейки </w:t>
      </w:r>
      <w:r w:rsidRPr="00F076B7">
        <w:rPr>
          <w:rFonts w:ascii="Arial" w:eastAsia="Times New Roman" w:hAnsi="Arial" w:cs="Arial"/>
          <w:i/>
          <w:iCs/>
          <w:color w:val="212529"/>
          <w:sz w:val="24"/>
          <w:szCs w:val="24"/>
          <w:lang w:eastAsia="ru-RU"/>
        </w:rPr>
        <w:lastRenderedPageBreak/>
        <w:t>зубообрабатывающего оборудования и организация его производства в ОАО «ВИСТАН»;</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Гомельская область</w:t>
      </w:r>
      <w:r w:rsidRPr="00F076B7">
        <w:rPr>
          <w:rFonts w:ascii="Arial" w:eastAsia="Times New Roman" w:hAnsi="Arial" w:cs="Arial"/>
          <w:i/>
          <w:iCs/>
          <w:color w:val="212529"/>
          <w:sz w:val="24"/>
          <w:szCs w:val="24"/>
          <w:lang w:eastAsia="ru-RU"/>
        </w:rPr>
        <w:t> – создание комплекса производства полипропилена в ОАО «</w:t>
      </w:r>
      <w:proofErr w:type="spellStart"/>
      <w:r w:rsidRPr="00F076B7">
        <w:rPr>
          <w:rFonts w:ascii="Arial" w:eastAsia="Times New Roman" w:hAnsi="Arial" w:cs="Arial"/>
          <w:i/>
          <w:iCs/>
          <w:color w:val="212529"/>
          <w:sz w:val="24"/>
          <w:szCs w:val="24"/>
          <w:lang w:eastAsia="ru-RU"/>
        </w:rPr>
        <w:t>Мозырский</w:t>
      </w:r>
      <w:proofErr w:type="spellEnd"/>
      <w:r w:rsidRPr="00F076B7">
        <w:rPr>
          <w:rFonts w:ascii="Arial" w:eastAsia="Times New Roman" w:hAnsi="Arial" w:cs="Arial"/>
          <w:i/>
          <w:iCs/>
          <w:color w:val="212529"/>
          <w:sz w:val="24"/>
          <w:szCs w:val="24"/>
          <w:lang w:eastAsia="ru-RU"/>
        </w:rPr>
        <w:t xml:space="preserve"> НПЗ», комплексная модернизация действующих и создание новых производственных мощностей в ОАО «</w:t>
      </w:r>
      <w:proofErr w:type="spellStart"/>
      <w:r w:rsidRPr="00F076B7">
        <w:rPr>
          <w:rFonts w:ascii="Arial" w:eastAsia="Times New Roman" w:hAnsi="Arial" w:cs="Arial"/>
          <w:i/>
          <w:iCs/>
          <w:color w:val="212529"/>
          <w:sz w:val="24"/>
          <w:szCs w:val="24"/>
          <w:lang w:eastAsia="ru-RU"/>
        </w:rPr>
        <w:t>Гомсельмаш</w:t>
      </w:r>
      <w:proofErr w:type="spellEnd"/>
      <w:r w:rsidRPr="00F076B7">
        <w:rPr>
          <w:rFonts w:ascii="Arial" w:eastAsia="Times New Roman" w:hAnsi="Arial" w:cs="Arial"/>
          <w:i/>
          <w:iCs/>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Гродненская область</w:t>
      </w:r>
      <w:r w:rsidRPr="00F076B7">
        <w:rPr>
          <w:rFonts w:ascii="Arial" w:eastAsia="Times New Roman" w:hAnsi="Arial" w:cs="Arial"/>
          <w:i/>
          <w:iCs/>
          <w:color w:val="212529"/>
          <w:sz w:val="24"/>
          <w:szCs w:val="24"/>
          <w:lang w:eastAsia="ru-RU"/>
        </w:rPr>
        <w:t> – организация отечественного производства</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соды</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кальцинированной «УКХ «Белорусская стекольная компания», установка новой</w:t>
      </w:r>
      <w:r w:rsidRPr="00F076B7">
        <w:rPr>
          <w:rFonts w:ascii="Arial" w:eastAsia="Times New Roman" w:hAnsi="Arial" w:cs="Arial"/>
          <w:color w:val="212529"/>
          <w:sz w:val="24"/>
          <w:szCs w:val="24"/>
          <w:lang w:eastAsia="ru-RU"/>
        </w:rPr>
        <w:t> </w:t>
      </w:r>
      <w:proofErr w:type="spellStart"/>
      <w:r w:rsidRPr="00F076B7">
        <w:rPr>
          <w:rFonts w:ascii="Arial" w:eastAsia="Times New Roman" w:hAnsi="Arial" w:cs="Arial"/>
          <w:i/>
          <w:iCs/>
          <w:color w:val="212529"/>
          <w:sz w:val="24"/>
          <w:szCs w:val="24"/>
          <w:lang w:eastAsia="ru-RU"/>
        </w:rPr>
        <w:t>картоноделательной</w:t>
      </w:r>
      <w:proofErr w:type="spellEnd"/>
      <w:r w:rsidRPr="00F076B7">
        <w:rPr>
          <w:rFonts w:ascii="Arial" w:eastAsia="Times New Roman" w:hAnsi="Arial" w:cs="Arial"/>
          <w:i/>
          <w:iCs/>
          <w:color w:val="212529"/>
          <w:sz w:val="24"/>
          <w:szCs w:val="24"/>
          <w:lang w:eastAsia="ru-RU"/>
        </w:rPr>
        <w:t xml:space="preserve"> машины</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для производства гильзового картона в ОАО «Слонимский картонно-бумажный завод «</w:t>
      </w:r>
      <w:proofErr w:type="spellStart"/>
      <w:r w:rsidRPr="00F076B7">
        <w:rPr>
          <w:rFonts w:ascii="Arial" w:eastAsia="Times New Roman" w:hAnsi="Arial" w:cs="Arial"/>
          <w:i/>
          <w:iCs/>
          <w:color w:val="212529"/>
          <w:sz w:val="24"/>
          <w:szCs w:val="24"/>
          <w:lang w:eastAsia="ru-RU"/>
        </w:rPr>
        <w:t>Альбертин</w:t>
      </w:r>
      <w:proofErr w:type="spellEnd"/>
      <w:r w:rsidRPr="00F076B7">
        <w:rPr>
          <w:rFonts w:ascii="Arial" w:eastAsia="Times New Roman" w:hAnsi="Arial" w:cs="Arial"/>
          <w:i/>
          <w:iCs/>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Минская область</w:t>
      </w:r>
      <w:r w:rsidRPr="00F076B7">
        <w:rPr>
          <w:rFonts w:ascii="Arial" w:eastAsia="Times New Roman" w:hAnsi="Arial" w:cs="Arial"/>
          <w:i/>
          <w:iCs/>
          <w:color w:val="212529"/>
          <w:sz w:val="24"/>
          <w:szCs w:val="24"/>
          <w:lang w:eastAsia="ru-RU"/>
        </w:rPr>
        <w:t>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процесса в филиале ОАО «Управляющая компания холдинга «МИНСКИЙ МОТОРНЫЙ ЗАВОД» в г. Столбцы, создание гибкого автоматизированного производства насосов усилителя и индикаторов потока гидравлических систем рулевого управления в ОАО «</w:t>
      </w:r>
      <w:proofErr w:type="spellStart"/>
      <w:r w:rsidRPr="00F076B7">
        <w:rPr>
          <w:rFonts w:ascii="Arial" w:eastAsia="Times New Roman" w:hAnsi="Arial" w:cs="Arial"/>
          <w:i/>
          <w:iCs/>
          <w:color w:val="212529"/>
          <w:sz w:val="24"/>
          <w:szCs w:val="24"/>
          <w:lang w:eastAsia="ru-RU"/>
        </w:rPr>
        <w:t>Борисовский</w:t>
      </w:r>
      <w:proofErr w:type="spellEnd"/>
      <w:r w:rsidRPr="00F076B7">
        <w:rPr>
          <w:rFonts w:ascii="Arial" w:eastAsia="Times New Roman" w:hAnsi="Arial" w:cs="Arial"/>
          <w:i/>
          <w:iCs/>
          <w:color w:val="212529"/>
          <w:sz w:val="24"/>
          <w:szCs w:val="24"/>
          <w:lang w:eastAsia="ru-RU"/>
        </w:rPr>
        <w:t xml:space="preserve"> завод «</w:t>
      </w:r>
      <w:proofErr w:type="spellStart"/>
      <w:r w:rsidRPr="00F076B7">
        <w:rPr>
          <w:rFonts w:ascii="Arial" w:eastAsia="Times New Roman" w:hAnsi="Arial" w:cs="Arial"/>
          <w:i/>
          <w:iCs/>
          <w:color w:val="212529"/>
          <w:sz w:val="24"/>
          <w:szCs w:val="24"/>
          <w:lang w:eastAsia="ru-RU"/>
        </w:rPr>
        <w:t>Автогидроусилитель</w:t>
      </w:r>
      <w:proofErr w:type="spellEnd"/>
      <w:r w:rsidRPr="00F076B7">
        <w:rPr>
          <w:rFonts w:ascii="Arial" w:eastAsia="Times New Roman" w:hAnsi="Arial" w:cs="Arial"/>
          <w:i/>
          <w:iCs/>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Могилевская область</w:t>
      </w:r>
      <w:r w:rsidRPr="00F076B7">
        <w:rPr>
          <w:rFonts w:ascii="Arial" w:eastAsia="Times New Roman" w:hAnsi="Arial" w:cs="Arial"/>
          <w:i/>
          <w:iCs/>
          <w:color w:val="212529"/>
          <w:sz w:val="24"/>
          <w:szCs w:val="24"/>
          <w:lang w:eastAsia="ru-RU"/>
        </w:rPr>
        <w:t> – создание производства точного алюминиевого литья в ОАО «</w:t>
      </w:r>
      <w:proofErr w:type="spellStart"/>
      <w:r w:rsidRPr="00F076B7">
        <w:rPr>
          <w:rFonts w:ascii="Arial" w:eastAsia="Times New Roman" w:hAnsi="Arial" w:cs="Arial"/>
          <w:i/>
          <w:iCs/>
          <w:color w:val="212529"/>
          <w:sz w:val="24"/>
          <w:szCs w:val="24"/>
          <w:lang w:eastAsia="ru-RU"/>
        </w:rPr>
        <w:t>Осиповичский</w:t>
      </w:r>
      <w:proofErr w:type="spellEnd"/>
      <w:r w:rsidRPr="00F076B7">
        <w:rPr>
          <w:rFonts w:ascii="Arial" w:eastAsia="Times New Roman" w:hAnsi="Arial" w:cs="Arial"/>
          <w:i/>
          <w:iCs/>
          <w:color w:val="212529"/>
          <w:sz w:val="24"/>
          <w:szCs w:val="24"/>
          <w:lang w:eastAsia="ru-RU"/>
        </w:rPr>
        <w:t xml:space="preserve"> завод автомобильных агрегатов», возведение комплекса непрерывного производства хлората натрия и перекиси водорода в ОАО «</w:t>
      </w:r>
      <w:proofErr w:type="spellStart"/>
      <w:r w:rsidRPr="00F076B7">
        <w:rPr>
          <w:rFonts w:ascii="Arial" w:eastAsia="Times New Roman" w:hAnsi="Arial" w:cs="Arial"/>
          <w:i/>
          <w:iCs/>
          <w:color w:val="212529"/>
          <w:sz w:val="24"/>
          <w:szCs w:val="24"/>
          <w:lang w:eastAsia="ru-RU"/>
        </w:rPr>
        <w:t>Могилевхимволокно</w:t>
      </w:r>
      <w:proofErr w:type="spellEnd"/>
      <w:r w:rsidRPr="00F076B7">
        <w:rPr>
          <w:rFonts w:ascii="Arial" w:eastAsia="Times New Roman" w:hAnsi="Arial" w:cs="Arial"/>
          <w:i/>
          <w:iCs/>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 точки зрения территориального развития большее внимание в 2021–2025 гг. уделялось:</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регионам с численностью населения 80 тыс. человек и более </w:t>
      </w:r>
      <w:r w:rsidRPr="00F076B7">
        <w:rPr>
          <w:rFonts w:ascii="Arial" w:eastAsia="Times New Roman" w:hAnsi="Arial" w:cs="Arial"/>
          <w:i/>
          <w:iCs/>
          <w:color w:val="212529"/>
          <w:sz w:val="24"/>
          <w:szCs w:val="24"/>
          <w:lang w:eastAsia="ru-RU"/>
        </w:rPr>
        <w:t>(далее – «80 плюс»)</w:t>
      </w:r>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отдельным районам, требующим опережающего социально-экономического развития (30 административно-территориальных единиц).</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Кроме того, осуществлялось точечное стимулирование развития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Развитие производственного потенциала регионов осуществлялось с акцентом на реализацию инвестиционных проектов, перечень которых на постоянной основе актуализировался и дополнялся.</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На территориях «80 плюс» в 2025 году реализовывалось 126 производственных инвестиционных проектов.</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i/>
          <w:iCs/>
          <w:color w:val="212529"/>
          <w:sz w:val="24"/>
          <w:szCs w:val="24"/>
          <w:lang w:eastAsia="ru-RU"/>
        </w:rPr>
        <w:t>Завершены проекты по созданию производства комплекта накладок для стрелочных переводов (ОАО «</w:t>
      </w:r>
      <w:proofErr w:type="spellStart"/>
      <w:r w:rsidRPr="00F076B7">
        <w:rPr>
          <w:rFonts w:ascii="Arial" w:eastAsia="Times New Roman" w:hAnsi="Arial" w:cs="Arial"/>
          <w:i/>
          <w:iCs/>
          <w:color w:val="212529"/>
          <w:sz w:val="24"/>
          <w:szCs w:val="24"/>
          <w:lang w:eastAsia="ru-RU"/>
        </w:rPr>
        <w:t>Барановичский</w:t>
      </w:r>
      <w:proofErr w:type="spellEnd"/>
      <w:r w:rsidRPr="00F076B7">
        <w:rPr>
          <w:rFonts w:ascii="Arial" w:eastAsia="Times New Roman" w:hAnsi="Arial" w:cs="Arial"/>
          <w:i/>
          <w:iCs/>
          <w:color w:val="212529"/>
          <w:sz w:val="24"/>
          <w:szCs w:val="24"/>
          <w:lang w:eastAsia="ru-RU"/>
        </w:rPr>
        <w:t xml:space="preserve"> завод автоматических линий»), строительству </w:t>
      </w:r>
      <w:proofErr w:type="spellStart"/>
      <w:r w:rsidRPr="00F076B7">
        <w:rPr>
          <w:rFonts w:ascii="Arial" w:eastAsia="Times New Roman" w:hAnsi="Arial" w:cs="Arial"/>
          <w:i/>
          <w:iCs/>
          <w:color w:val="212529"/>
          <w:sz w:val="24"/>
          <w:szCs w:val="24"/>
          <w:lang w:eastAsia="ru-RU"/>
        </w:rPr>
        <w:t>молочнотоварной</w:t>
      </w:r>
      <w:proofErr w:type="spellEnd"/>
      <w:r w:rsidRPr="00F076B7">
        <w:rPr>
          <w:rFonts w:ascii="Arial" w:eastAsia="Times New Roman" w:hAnsi="Arial" w:cs="Arial"/>
          <w:i/>
          <w:iCs/>
          <w:color w:val="212529"/>
          <w:sz w:val="24"/>
          <w:szCs w:val="24"/>
          <w:lang w:eastAsia="ru-RU"/>
        </w:rPr>
        <w:t xml:space="preserve"> фермы на 2000 голов дойного стада вблизи дер. Чурилово Оршанского района (ОАО «Агрокомбинат «Юбилейный»), созданию производства бренда «</w:t>
      </w:r>
      <w:proofErr w:type="spellStart"/>
      <w:r w:rsidRPr="00F076B7">
        <w:rPr>
          <w:rFonts w:ascii="Arial" w:eastAsia="Times New Roman" w:hAnsi="Arial" w:cs="Arial"/>
          <w:i/>
          <w:iCs/>
          <w:color w:val="212529"/>
          <w:sz w:val="24"/>
          <w:szCs w:val="24"/>
          <w:lang w:eastAsia="ru-RU"/>
        </w:rPr>
        <w:t>Mark</w:t>
      </w:r>
      <w:proofErr w:type="spellEnd"/>
      <w:r w:rsidRPr="00F076B7">
        <w:rPr>
          <w:rFonts w:ascii="Arial" w:eastAsia="Times New Roman" w:hAnsi="Arial" w:cs="Arial"/>
          <w:i/>
          <w:iCs/>
          <w:color w:val="212529"/>
          <w:sz w:val="24"/>
          <w:szCs w:val="24"/>
          <w:lang w:eastAsia="ru-RU"/>
        </w:rPr>
        <w:t xml:space="preserve"> </w:t>
      </w:r>
      <w:proofErr w:type="spellStart"/>
      <w:r w:rsidRPr="00F076B7">
        <w:rPr>
          <w:rFonts w:ascii="Arial" w:eastAsia="Times New Roman" w:hAnsi="Arial" w:cs="Arial"/>
          <w:i/>
          <w:iCs/>
          <w:color w:val="212529"/>
          <w:sz w:val="24"/>
          <w:szCs w:val="24"/>
          <w:lang w:eastAsia="ru-RU"/>
        </w:rPr>
        <w:t>Formelle</w:t>
      </w:r>
      <w:proofErr w:type="spellEnd"/>
      <w:r w:rsidRPr="00F076B7">
        <w:rPr>
          <w:rFonts w:ascii="Arial" w:eastAsia="Times New Roman" w:hAnsi="Arial" w:cs="Arial"/>
          <w:i/>
          <w:iCs/>
          <w:color w:val="212529"/>
          <w:sz w:val="24"/>
          <w:szCs w:val="24"/>
          <w:lang w:eastAsia="ru-RU"/>
        </w:rPr>
        <w:t xml:space="preserve">» (ООО «Марк </w:t>
      </w:r>
      <w:proofErr w:type="spellStart"/>
      <w:r w:rsidRPr="00F076B7">
        <w:rPr>
          <w:rFonts w:ascii="Arial" w:eastAsia="Times New Roman" w:hAnsi="Arial" w:cs="Arial"/>
          <w:i/>
          <w:iCs/>
          <w:color w:val="212529"/>
          <w:sz w:val="24"/>
          <w:szCs w:val="24"/>
          <w:lang w:eastAsia="ru-RU"/>
        </w:rPr>
        <w:t>Формэль</w:t>
      </w:r>
      <w:proofErr w:type="spellEnd"/>
      <w:r w:rsidRPr="00F076B7">
        <w:rPr>
          <w:rFonts w:ascii="Arial" w:eastAsia="Times New Roman" w:hAnsi="Arial" w:cs="Arial"/>
          <w:i/>
          <w:iCs/>
          <w:color w:val="212529"/>
          <w:sz w:val="24"/>
          <w:szCs w:val="24"/>
          <w:lang w:eastAsia="ru-RU"/>
        </w:rPr>
        <w:t>»), реконструкции производственного здания под склад готовой продукции (ОАО «</w:t>
      </w:r>
      <w:proofErr w:type="spellStart"/>
      <w:r w:rsidRPr="00F076B7">
        <w:rPr>
          <w:rFonts w:ascii="Arial" w:eastAsia="Times New Roman" w:hAnsi="Arial" w:cs="Arial"/>
          <w:i/>
          <w:iCs/>
          <w:color w:val="212529"/>
          <w:sz w:val="24"/>
          <w:szCs w:val="24"/>
          <w:lang w:eastAsia="ru-RU"/>
        </w:rPr>
        <w:t>Борисовский</w:t>
      </w:r>
      <w:proofErr w:type="spellEnd"/>
      <w:r w:rsidRPr="00F076B7">
        <w:rPr>
          <w:rFonts w:ascii="Arial" w:eastAsia="Times New Roman" w:hAnsi="Arial" w:cs="Arial"/>
          <w:i/>
          <w:iCs/>
          <w:color w:val="212529"/>
          <w:sz w:val="24"/>
          <w:szCs w:val="24"/>
          <w:lang w:eastAsia="ru-RU"/>
        </w:rPr>
        <w:t xml:space="preserve"> завод медицинских препаратов»), установке солнечных панелей на солнечной электростанции мощностью 240 кВт</w:t>
      </w:r>
      <w:proofErr w:type="gramEnd"/>
      <w:r w:rsidRPr="00F076B7">
        <w:rPr>
          <w:rFonts w:ascii="Arial" w:eastAsia="Times New Roman" w:hAnsi="Arial" w:cs="Arial"/>
          <w:i/>
          <w:iCs/>
          <w:color w:val="212529"/>
          <w:sz w:val="24"/>
          <w:szCs w:val="24"/>
          <w:lang w:eastAsia="ru-RU"/>
        </w:rPr>
        <w:t xml:space="preserve"> (</w:t>
      </w:r>
      <w:proofErr w:type="gramStart"/>
      <w:r w:rsidRPr="00F076B7">
        <w:rPr>
          <w:rFonts w:ascii="Arial" w:eastAsia="Times New Roman" w:hAnsi="Arial" w:cs="Arial"/>
          <w:i/>
          <w:iCs/>
          <w:color w:val="212529"/>
          <w:sz w:val="24"/>
          <w:szCs w:val="24"/>
          <w:lang w:eastAsia="ru-RU"/>
        </w:rPr>
        <w:t>ОАО «</w:t>
      </w:r>
      <w:proofErr w:type="spellStart"/>
      <w:r w:rsidRPr="00F076B7">
        <w:rPr>
          <w:rFonts w:ascii="Arial" w:eastAsia="Times New Roman" w:hAnsi="Arial" w:cs="Arial"/>
          <w:i/>
          <w:iCs/>
          <w:color w:val="212529"/>
          <w:sz w:val="24"/>
          <w:szCs w:val="24"/>
          <w:lang w:eastAsia="ru-RU"/>
        </w:rPr>
        <w:t>Радошковичский</w:t>
      </w:r>
      <w:proofErr w:type="spellEnd"/>
      <w:r w:rsidRPr="00F076B7">
        <w:rPr>
          <w:rFonts w:ascii="Arial" w:eastAsia="Times New Roman" w:hAnsi="Arial" w:cs="Arial"/>
          <w:i/>
          <w:iCs/>
          <w:color w:val="212529"/>
          <w:sz w:val="24"/>
          <w:szCs w:val="24"/>
          <w:lang w:eastAsia="ru-RU"/>
        </w:rPr>
        <w:t xml:space="preserve"> керамический завод»), строительству инновационной перепелиной фермы замкнутого цикла с автоматизированным сбором и упаковкой товарного яйца «Кривичи» (ОАО «</w:t>
      </w:r>
      <w:proofErr w:type="spellStart"/>
      <w:r w:rsidRPr="00F076B7">
        <w:rPr>
          <w:rFonts w:ascii="Arial" w:eastAsia="Times New Roman" w:hAnsi="Arial" w:cs="Arial"/>
          <w:i/>
          <w:iCs/>
          <w:color w:val="212529"/>
          <w:sz w:val="24"/>
          <w:szCs w:val="24"/>
          <w:lang w:eastAsia="ru-RU"/>
        </w:rPr>
        <w:t>Солигорская</w:t>
      </w:r>
      <w:proofErr w:type="spellEnd"/>
      <w:r w:rsidRPr="00F076B7">
        <w:rPr>
          <w:rFonts w:ascii="Arial" w:eastAsia="Times New Roman" w:hAnsi="Arial" w:cs="Arial"/>
          <w:i/>
          <w:iCs/>
          <w:color w:val="212529"/>
          <w:sz w:val="24"/>
          <w:szCs w:val="24"/>
          <w:lang w:eastAsia="ru-RU"/>
        </w:rPr>
        <w:t xml:space="preserve"> птицефабрика») и другие.</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lastRenderedPageBreak/>
        <w:t>В 30 регионах, требующих опережающего социально-экономического развития, в 2025 году реализован 91 производственный инвестиционный проект.</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i/>
          <w:iCs/>
          <w:color w:val="212529"/>
          <w:sz w:val="24"/>
          <w:szCs w:val="24"/>
          <w:lang w:eastAsia="ru-RU"/>
        </w:rPr>
        <w:t xml:space="preserve">Наиболее крупные завершенные проекты: в </w:t>
      </w:r>
      <w:proofErr w:type="spellStart"/>
      <w:r w:rsidRPr="00F076B7">
        <w:rPr>
          <w:rFonts w:ascii="Arial" w:eastAsia="Times New Roman" w:hAnsi="Arial" w:cs="Arial"/>
          <w:i/>
          <w:iCs/>
          <w:color w:val="212529"/>
          <w:sz w:val="24"/>
          <w:szCs w:val="24"/>
          <w:lang w:eastAsia="ru-RU"/>
        </w:rPr>
        <w:t>Ганцевичском</w:t>
      </w:r>
      <w:proofErr w:type="spellEnd"/>
      <w:r w:rsidRPr="00F076B7">
        <w:rPr>
          <w:rFonts w:ascii="Arial" w:eastAsia="Times New Roman" w:hAnsi="Arial" w:cs="Arial"/>
          <w:i/>
          <w:iCs/>
          <w:color w:val="212529"/>
          <w:sz w:val="24"/>
          <w:szCs w:val="24"/>
          <w:lang w:eastAsia="ru-RU"/>
        </w:rPr>
        <w:t xml:space="preserve"> районе создано производство лекарственных средств на основе рекомбинантных технологий и фракционирования плазмы крови, соответствующее международным стандартам, а также возведен производственный модуль на переработку 25 т плазмы крови (ГУ «Республиканский научно-практический центр трансфузиологии и медицинских биотехнологий»), в </w:t>
      </w:r>
      <w:proofErr w:type="spellStart"/>
      <w:r w:rsidRPr="00F076B7">
        <w:rPr>
          <w:rFonts w:ascii="Arial" w:eastAsia="Times New Roman" w:hAnsi="Arial" w:cs="Arial"/>
          <w:i/>
          <w:iCs/>
          <w:color w:val="212529"/>
          <w:sz w:val="24"/>
          <w:szCs w:val="24"/>
          <w:lang w:eastAsia="ru-RU"/>
        </w:rPr>
        <w:t>Кормянском</w:t>
      </w:r>
      <w:proofErr w:type="spellEnd"/>
      <w:r w:rsidRPr="00F076B7">
        <w:rPr>
          <w:rFonts w:ascii="Arial" w:eastAsia="Times New Roman" w:hAnsi="Arial" w:cs="Arial"/>
          <w:i/>
          <w:iCs/>
          <w:color w:val="212529"/>
          <w:sz w:val="24"/>
          <w:szCs w:val="24"/>
          <w:lang w:eastAsia="ru-RU"/>
        </w:rPr>
        <w:t xml:space="preserve"> районе организовано производство картофеля </w:t>
      </w:r>
      <w:proofErr w:type="spellStart"/>
      <w:r w:rsidRPr="00F076B7">
        <w:rPr>
          <w:rFonts w:ascii="Arial" w:eastAsia="Times New Roman" w:hAnsi="Arial" w:cs="Arial"/>
          <w:i/>
          <w:iCs/>
          <w:color w:val="212529"/>
          <w:sz w:val="24"/>
          <w:szCs w:val="24"/>
          <w:lang w:eastAsia="ru-RU"/>
        </w:rPr>
        <w:t>чипсовых</w:t>
      </w:r>
      <w:proofErr w:type="spellEnd"/>
      <w:r w:rsidRPr="00F076B7">
        <w:rPr>
          <w:rFonts w:ascii="Arial" w:eastAsia="Times New Roman" w:hAnsi="Arial" w:cs="Arial"/>
          <w:i/>
          <w:iCs/>
          <w:color w:val="212529"/>
          <w:sz w:val="24"/>
          <w:szCs w:val="24"/>
          <w:lang w:eastAsia="ru-RU"/>
        </w:rPr>
        <w:t xml:space="preserve"> сортов (ООО «</w:t>
      </w:r>
      <w:proofErr w:type="spellStart"/>
      <w:r w:rsidRPr="00F076B7">
        <w:rPr>
          <w:rFonts w:ascii="Arial" w:eastAsia="Times New Roman" w:hAnsi="Arial" w:cs="Arial"/>
          <w:i/>
          <w:iCs/>
          <w:color w:val="212529"/>
          <w:sz w:val="24"/>
          <w:szCs w:val="24"/>
          <w:lang w:eastAsia="ru-RU"/>
        </w:rPr>
        <w:t>Белпродукт</w:t>
      </w:r>
      <w:proofErr w:type="spellEnd"/>
      <w:r w:rsidRPr="00F076B7">
        <w:rPr>
          <w:rFonts w:ascii="Arial" w:eastAsia="Times New Roman" w:hAnsi="Arial" w:cs="Arial"/>
          <w:i/>
          <w:iCs/>
          <w:color w:val="212529"/>
          <w:sz w:val="24"/>
          <w:szCs w:val="24"/>
          <w:lang w:eastAsia="ru-RU"/>
        </w:rPr>
        <w:t>»).</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На особом контроле Главы государства </w:t>
      </w:r>
      <w:proofErr w:type="spellStart"/>
      <w:r w:rsidRPr="00F076B7">
        <w:rPr>
          <w:rFonts w:ascii="Arial" w:eastAsia="Times New Roman" w:hAnsi="Arial" w:cs="Arial"/>
          <w:color w:val="212529"/>
          <w:sz w:val="24"/>
          <w:szCs w:val="24"/>
          <w:lang w:eastAsia="ru-RU"/>
        </w:rPr>
        <w:t>А.Г.Лукашенко</w:t>
      </w:r>
      <w:proofErr w:type="spellEnd"/>
      <w:r w:rsidRPr="00F076B7">
        <w:rPr>
          <w:rFonts w:ascii="Arial" w:eastAsia="Times New Roman" w:hAnsi="Arial" w:cs="Arial"/>
          <w:color w:val="212529"/>
          <w:sz w:val="24"/>
          <w:szCs w:val="24"/>
          <w:lang w:eastAsia="ru-RU"/>
        </w:rPr>
        <w:t xml:space="preserve"> находилось развитие Оршанского района, где завершены ряд производственных инвестиционных проектов, позволивших укрепить промышленный потенциал региона.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i/>
          <w:iCs/>
          <w:color w:val="212529"/>
          <w:sz w:val="24"/>
          <w:szCs w:val="24"/>
          <w:lang w:eastAsia="ru-RU"/>
        </w:rPr>
        <w:t>Например, в ОАО «Завод «</w:t>
      </w:r>
      <w:proofErr w:type="spellStart"/>
      <w:r w:rsidRPr="00F076B7">
        <w:rPr>
          <w:rFonts w:ascii="Arial" w:eastAsia="Times New Roman" w:hAnsi="Arial" w:cs="Arial"/>
          <w:i/>
          <w:iCs/>
          <w:color w:val="212529"/>
          <w:sz w:val="24"/>
          <w:szCs w:val="24"/>
          <w:lang w:eastAsia="ru-RU"/>
        </w:rPr>
        <w:t>Легмаш</w:t>
      </w:r>
      <w:proofErr w:type="spellEnd"/>
      <w:r w:rsidRPr="00F076B7">
        <w:rPr>
          <w:rFonts w:ascii="Arial" w:eastAsia="Times New Roman" w:hAnsi="Arial" w:cs="Arial"/>
          <w:i/>
          <w:iCs/>
          <w:color w:val="212529"/>
          <w:sz w:val="24"/>
          <w:szCs w:val="24"/>
          <w:lang w:eastAsia="ru-RU"/>
        </w:rPr>
        <w:t>» организовано производство инновационного оборудования и комплектующих изделий к нему для нефтегазовой промышленности, в ОАО «Завод приборов автоматического контроля» – производство по выпуску оборудования для очистки воды, в ОАО «</w:t>
      </w:r>
      <w:proofErr w:type="spellStart"/>
      <w:r w:rsidRPr="00F076B7">
        <w:rPr>
          <w:rFonts w:ascii="Arial" w:eastAsia="Times New Roman" w:hAnsi="Arial" w:cs="Arial"/>
          <w:i/>
          <w:iCs/>
          <w:color w:val="212529"/>
          <w:sz w:val="24"/>
          <w:szCs w:val="24"/>
          <w:lang w:eastAsia="ru-RU"/>
        </w:rPr>
        <w:t>Оршаагропроммаш</w:t>
      </w:r>
      <w:proofErr w:type="spellEnd"/>
      <w:r w:rsidRPr="00F076B7">
        <w:rPr>
          <w:rFonts w:ascii="Arial" w:eastAsia="Times New Roman" w:hAnsi="Arial" w:cs="Arial"/>
          <w:i/>
          <w:iCs/>
          <w:color w:val="212529"/>
          <w:sz w:val="24"/>
          <w:szCs w:val="24"/>
          <w:lang w:eastAsia="ru-RU"/>
        </w:rPr>
        <w:t>» осуществлено техническое переоснащение производства с освоением серийного производства новых видов техники, в РУПТП «Оршанский льнокомбинат»</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завершена модернизация фабрик № 1 и № 2, отделочной и швейной фабрик, а также</w:t>
      </w:r>
      <w:proofErr w:type="gramEnd"/>
      <w:r w:rsidRPr="00F076B7">
        <w:rPr>
          <w:rFonts w:ascii="Arial" w:eastAsia="Times New Roman" w:hAnsi="Arial" w:cs="Arial"/>
          <w:i/>
          <w:iCs/>
          <w:color w:val="212529"/>
          <w:sz w:val="24"/>
          <w:szCs w:val="24"/>
          <w:lang w:eastAsia="ru-RU"/>
        </w:rPr>
        <w:t xml:space="preserve"> проведена реконструкция бельно-отделочного производства и склада готовой продукции на фабрике № 1.</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color w:val="212529"/>
          <w:sz w:val="24"/>
          <w:szCs w:val="24"/>
          <w:lang w:eastAsia="ru-RU"/>
        </w:rPr>
        <w:t>В 2025 году начата реализация новой </w:t>
      </w:r>
      <w:hyperlink r:id="rId6" w:anchor="%D0%A3%D1%82%D0%B2_1" w:history="1">
        <w:r w:rsidRPr="00F076B7">
          <w:rPr>
            <w:rFonts w:ascii="Arial" w:eastAsia="Times New Roman" w:hAnsi="Arial" w:cs="Arial"/>
            <w:color w:val="000CFF"/>
            <w:sz w:val="24"/>
            <w:szCs w:val="24"/>
            <w:lang w:eastAsia="ru-RU"/>
          </w:rPr>
          <w:t>Программы</w:t>
        </w:r>
      </w:hyperlink>
      <w:r w:rsidRPr="00F076B7">
        <w:rPr>
          <w:rFonts w:ascii="Arial" w:eastAsia="Times New Roman" w:hAnsi="Arial" w:cs="Arial"/>
          <w:color w:val="212529"/>
          <w:sz w:val="24"/>
          <w:szCs w:val="24"/>
          <w:lang w:eastAsia="ru-RU"/>
        </w:rPr>
        <w:t xml:space="preserve"> по развитию районов </w:t>
      </w:r>
      <w:proofErr w:type="spellStart"/>
      <w:r w:rsidRPr="00F076B7">
        <w:rPr>
          <w:rFonts w:ascii="Arial" w:eastAsia="Times New Roman" w:hAnsi="Arial" w:cs="Arial"/>
          <w:color w:val="212529"/>
          <w:sz w:val="24"/>
          <w:szCs w:val="24"/>
          <w:lang w:eastAsia="ru-RU"/>
        </w:rPr>
        <w:t>Припятского</w:t>
      </w:r>
      <w:proofErr w:type="spellEnd"/>
      <w:r w:rsidRPr="00F076B7">
        <w:rPr>
          <w:rFonts w:ascii="Arial" w:eastAsia="Times New Roman" w:hAnsi="Arial" w:cs="Arial"/>
          <w:color w:val="212529"/>
          <w:sz w:val="24"/>
          <w:szCs w:val="24"/>
          <w:lang w:eastAsia="ru-RU"/>
        </w:rPr>
        <w:t xml:space="preserve"> Полесья </w:t>
      </w:r>
      <w:r w:rsidRPr="00F076B7">
        <w:rPr>
          <w:rFonts w:ascii="Arial" w:eastAsia="Times New Roman" w:hAnsi="Arial" w:cs="Arial"/>
          <w:i/>
          <w:iCs/>
          <w:color w:val="212529"/>
          <w:sz w:val="24"/>
          <w:szCs w:val="24"/>
          <w:lang w:eastAsia="ru-RU"/>
        </w:rPr>
        <w:t>(утверждена</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постановлением Совета Министров Республики Беларусь от 31 декабря 2024 г. № 1072)</w:t>
      </w:r>
      <w:r w:rsidRPr="00F076B7">
        <w:rPr>
          <w:rFonts w:ascii="Arial" w:eastAsia="Times New Roman" w:hAnsi="Arial" w:cs="Arial"/>
          <w:color w:val="212529"/>
          <w:sz w:val="24"/>
          <w:szCs w:val="24"/>
          <w:lang w:eastAsia="ru-RU"/>
        </w:rPr>
        <w:t xml:space="preserve">, целью которой определены рост благосостояния и качества жизни населения районов </w:t>
      </w:r>
      <w:proofErr w:type="spellStart"/>
      <w:r w:rsidRPr="00F076B7">
        <w:rPr>
          <w:rFonts w:ascii="Arial" w:eastAsia="Times New Roman" w:hAnsi="Arial" w:cs="Arial"/>
          <w:color w:val="212529"/>
          <w:sz w:val="24"/>
          <w:szCs w:val="24"/>
          <w:lang w:eastAsia="ru-RU"/>
        </w:rPr>
        <w:t>Припятского</w:t>
      </w:r>
      <w:proofErr w:type="spellEnd"/>
      <w:r w:rsidRPr="00F076B7">
        <w:rPr>
          <w:rFonts w:ascii="Arial" w:eastAsia="Times New Roman" w:hAnsi="Arial" w:cs="Arial"/>
          <w:color w:val="212529"/>
          <w:sz w:val="24"/>
          <w:szCs w:val="24"/>
          <w:lang w:eastAsia="ru-RU"/>
        </w:rPr>
        <w:t xml:space="preserve"> Полесья на основе повышения эффективности использования уникального природно-ресурсного потенциала, укрепления промышленного комплекса, внедрения лучших практик в сельском хозяйстве.</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Еще один регион, которому уделяется пристальное внимание со стороны государства – юго-восток Могилевской области. За 10 лет с 2015 года в экономику и социальную сферу региона направлено порядка 3 </w:t>
      </w:r>
      <w:proofErr w:type="gramStart"/>
      <w:r w:rsidRPr="00F076B7">
        <w:rPr>
          <w:rFonts w:ascii="Arial" w:eastAsia="Times New Roman" w:hAnsi="Arial" w:cs="Arial"/>
          <w:color w:val="212529"/>
          <w:sz w:val="24"/>
          <w:szCs w:val="24"/>
          <w:lang w:eastAsia="ru-RU"/>
        </w:rPr>
        <w:t>млрд</w:t>
      </w:r>
      <w:proofErr w:type="gramEnd"/>
      <w:r w:rsidRPr="00F076B7">
        <w:rPr>
          <w:rFonts w:ascii="Arial" w:eastAsia="Times New Roman" w:hAnsi="Arial" w:cs="Arial"/>
          <w:color w:val="212529"/>
          <w:sz w:val="24"/>
          <w:szCs w:val="24"/>
          <w:lang w:eastAsia="ru-RU"/>
        </w:rPr>
        <w:t xml:space="preserve">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 м жилья, в том числе порядка 93,0 тыс. кв. м с государственной поддержкой. Реализованы значимые проекты.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 xml:space="preserve">Так, в г. Славгороде организовано инновационное производство кондитерских изделий с установкой линии на ПТУП «Красный пищевик-Славгород», в </w:t>
      </w:r>
      <w:proofErr w:type="spellStart"/>
      <w:r w:rsidRPr="00F076B7">
        <w:rPr>
          <w:rFonts w:ascii="Arial" w:eastAsia="Times New Roman" w:hAnsi="Arial" w:cs="Arial"/>
          <w:i/>
          <w:iCs/>
          <w:color w:val="212529"/>
          <w:sz w:val="24"/>
          <w:szCs w:val="24"/>
          <w:lang w:eastAsia="ru-RU"/>
        </w:rPr>
        <w:t>Климовичском</w:t>
      </w:r>
      <w:proofErr w:type="spellEnd"/>
      <w:r w:rsidRPr="00F076B7">
        <w:rPr>
          <w:rFonts w:ascii="Arial" w:eastAsia="Times New Roman" w:hAnsi="Arial" w:cs="Arial"/>
          <w:i/>
          <w:iCs/>
          <w:color w:val="212529"/>
          <w:sz w:val="24"/>
          <w:szCs w:val="24"/>
          <w:lang w:eastAsia="ru-RU"/>
        </w:rPr>
        <w:t xml:space="preserve"> районе завершено строительство свиноводческого репродуктора на 3 600 голов основных свиноматок в ОАО «</w:t>
      </w:r>
      <w:proofErr w:type="spellStart"/>
      <w:r w:rsidRPr="00F076B7">
        <w:rPr>
          <w:rFonts w:ascii="Arial" w:eastAsia="Times New Roman" w:hAnsi="Arial" w:cs="Arial"/>
          <w:i/>
          <w:iCs/>
          <w:color w:val="212529"/>
          <w:sz w:val="24"/>
          <w:szCs w:val="24"/>
          <w:lang w:eastAsia="ru-RU"/>
        </w:rPr>
        <w:t>Климовичский</w:t>
      </w:r>
      <w:proofErr w:type="spellEnd"/>
      <w:r w:rsidRPr="00F076B7">
        <w:rPr>
          <w:rFonts w:ascii="Arial" w:eastAsia="Times New Roman" w:hAnsi="Arial" w:cs="Arial"/>
          <w:i/>
          <w:iCs/>
          <w:color w:val="212529"/>
          <w:sz w:val="24"/>
          <w:szCs w:val="24"/>
          <w:lang w:eastAsia="ru-RU"/>
        </w:rPr>
        <w:t xml:space="preserve"> комбинат хлебопродуктов», проведен капитальный ремонт инфекционного и главного корпусов </w:t>
      </w:r>
      <w:proofErr w:type="spellStart"/>
      <w:r w:rsidRPr="00F076B7">
        <w:rPr>
          <w:rFonts w:ascii="Arial" w:eastAsia="Times New Roman" w:hAnsi="Arial" w:cs="Arial"/>
          <w:i/>
          <w:iCs/>
          <w:color w:val="212529"/>
          <w:sz w:val="24"/>
          <w:szCs w:val="24"/>
          <w:lang w:eastAsia="ru-RU"/>
        </w:rPr>
        <w:t>Климовичской</w:t>
      </w:r>
      <w:proofErr w:type="spellEnd"/>
      <w:r w:rsidRPr="00F076B7">
        <w:rPr>
          <w:rFonts w:ascii="Arial" w:eastAsia="Times New Roman" w:hAnsi="Arial" w:cs="Arial"/>
          <w:i/>
          <w:iCs/>
          <w:color w:val="212529"/>
          <w:sz w:val="24"/>
          <w:szCs w:val="24"/>
          <w:lang w:eastAsia="ru-RU"/>
        </w:rPr>
        <w:t xml:space="preserve"> центральной районной больницы, 10 учреждений образования, построены станции обезжелезивания воды </w:t>
      </w:r>
      <w:proofErr w:type="gramStart"/>
      <w:r w:rsidRPr="00F076B7">
        <w:rPr>
          <w:rFonts w:ascii="Arial" w:eastAsia="Times New Roman" w:hAnsi="Arial" w:cs="Arial"/>
          <w:i/>
          <w:iCs/>
          <w:color w:val="212529"/>
          <w:sz w:val="24"/>
          <w:szCs w:val="24"/>
          <w:lang w:eastAsia="ru-RU"/>
        </w:rPr>
        <w:t xml:space="preserve">в </w:t>
      </w:r>
      <w:proofErr w:type="spellStart"/>
      <w:r w:rsidRPr="00F076B7">
        <w:rPr>
          <w:rFonts w:ascii="Arial" w:eastAsia="Times New Roman" w:hAnsi="Arial" w:cs="Arial"/>
          <w:i/>
          <w:iCs/>
          <w:color w:val="212529"/>
          <w:sz w:val="24"/>
          <w:szCs w:val="24"/>
          <w:lang w:eastAsia="ru-RU"/>
        </w:rPr>
        <w:t>аг</w:t>
      </w:r>
      <w:proofErr w:type="spellEnd"/>
      <w:proofErr w:type="gramEnd"/>
      <w:r w:rsidRPr="00F076B7">
        <w:rPr>
          <w:rFonts w:ascii="Arial" w:eastAsia="Times New Roman" w:hAnsi="Arial" w:cs="Arial"/>
          <w:i/>
          <w:iCs/>
          <w:color w:val="212529"/>
          <w:sz w:val="24"/>
          <w:szCs w:val="24"/>
          <w:lang w:eastAsia="ru-RU"/>
        </w:rPr>
        <w:t>. </w:t>
      </w:r>
      <w:proofErr w:type="spellStart"/>
      <w:proofErr w:type="gramStart"/>
      <w:r w:rsidRPr="00F076B7">
        <w:rPr>
          <w:rFonts w:ascii="Arial" w:eastAsia="Times New Roman" w:hAnsi="Arial" w:cs="Arial"/>
          <w:i/>
          <w:iCs/>
          <w:color w:val="212529"/>
          <w:sz w:val="24"/>
          <w:szCs w:val="24"/>
          <w:lang w:eastAsia="ru-RU"/>
        </w:rPr>
        <w:t>Макеевичи</w:t>
      </w:r>
      <w:proofErr w:type="spellEnd"/>
      <w:r w:rsidRPr="00F076B7">
        <w:rPr>
          <w:rFonts w:ascii="Arial" w:eastAsia="Times New Roman" w:hAnsi="Arial" w:cs="Arial"/>
          <w:i/>
          <w:iCs/>
          <w:color w:val="212529"/>
          <w:sz w:val="24"/>
          <w:szCs w:val="24"/>
          <w:lang w:eastAsia="ru-RU"/>
        </w:rPr>
        <w:t xml:space="preserve"> </w:t>
      </w:r>
      <w:proofErr w:type="spellStart"/>
      <w:r w:rsidRPr="00F076B7">
        <w:rPr>
          <w:rFonts w:ascii="Arial" w:eastAsia="Times New Roman" w:hAnsi="Arial" w:cs="Arial"/>
          <w:i/>
          <w:iCs/>
          <w:color w:val="212529"/>
          <w:sz w:val="24"/>
          <w:szCs w:val="24"/>
          <w:lang w:eastAsia="ru-RU"/>
        </w:rPr>
        <w:t>Климовичского</w:t>
      </w:r>
      <w:proofErr w:type="spellEnd"/>
      <w:r w:rsidRPr="00F076B7">
        <w:rPr>
          <w:rFonts w:ascii="Arial" w:eastAsia="Times New Roman" w:hAnsi="Arial" w:cs="Arial"/>
          <w:i/>
          <w:iCs/>
          <w:color w:val="212529"/>
          <w:sz w:val="24"/>
          <w:szCs w:val="24"/>
          <w:lang w:eastAsia="ru-RU"/>
        </w:rPr>
        <w:t xml:space="preserve"> района, в деревнях </w:t>
      </w:r>
      <w:proofErr w:type="spellStart"/>
      <w:r w:rsidRPr="00F076B7">
        <w:rPr>
          <w:rFonts w:ascii="Arial" w:eastAsia="Times New Roman" w:hAnsi="Arial" w:cs="Arial"/>
          <w:i/>
          <w:iCs/>
          <w:color w:val="212529"/>
          <w:sz w:val="24"/>
          <w:szCs w:val="24"/>
          <w:lang w:eastAsia="ru-RU"/>
        </w:rPr>
        <w:t>Лобковичи</w:t>
      </w:r>
      <w:proofErr w:type="spellEnd"/>
      <w:r w:rsidRPr="00F076B7">
        <w:rPr>
          <w:rFonts w:ascii="Arial" w:eastAsia="Times New Roman" w:hAnsi="Arial" w:cs="Arial"/>
          <w:i/>
          <w:iCs/>
          <w:color w:val="212529"/>
          <w:sz w:val="24"/>
          <w:szCs w:val="24"/>
          <w:lang w:eastAsia="ru-RU"/>
        </w:rPr>
        <w:t xml:space="preserve"> и </w:t>
      </w:r>
      <w:proofErr w:type="spellStart"/>
      <w:r w:rsidRPr="00F076B7">
        <w:rPr>
          <w:rFonts w:ascii="Arial" w:eastAsia="Times New Roman" w:hAnsi="Arial" w:cs="Arial"/>
          <w:i/>
          <w:iCs/>
          <w:color w:val="212529"/>
          <w:sz w:val="24"/>
          <w:szCs w:val="24"/>
          <w:lang w:eastAsia="ru-RU"/>
        </w:rPr>
        <w:t>Сычики</w:t>
      </w:r>
      <w:proofErr w:type="spellEnd"/>
      <w:r w:rsidRPr="00F076B7">
        <w:rPr>
          <w:rFonts w:ascii="Arial" w:eastAsia="Times New Roman" w:hAnsi="Arial" w:cs="Arial"/>
          <w:i/>
          <w:iCs/>
          <w:color w:val="212529"/>
          <w:sz w:val="24"/>
          <w:szCs w:val="24"/>
          <w:lang w:eastAsia="ru-RU"/>
        </w:rPr>
        <w:t xml:space="preserve"> Кричевского района, в дер. Красный Восход </w:t>
      </w:r>
      <w:proofErr w:type="spellStart"/>
      <w:r w:rsidRPr="00F076B7">
        <w:rPr>
          <w:rFonts w:ascii="Arial" w:eastAsia="Times New Roman" w:hAnsi="Arial" w:cs="Arial"/>
          <w:i/>
          <w:iCs/>
          <w:color w:val="212529"/>
          <w:sz w:val="24"/>
          <w:szCs w:val="24"/>
          <w:lang w:eastAsia="ru-RU"/>
        </w:rPr>
        <w:t>Славгородского</w:t>
      </w:r>
      <w:proofErr w:type="spellEnd"/>
      <w:r w:rsidRPr="00F076B7">
        <w:rPr>
          <w:rFonts w:ascii="Arial" w:eastAsia="Times New Roman" w:hAnsi="Arial" w:cs="Arial"/>
          <w:i/>
          <w:iCs/>
          <w:color w:val="212529"/>
          <w:sz w:val="24"/>
          <w:szCs w:val="24"/>
          <w:lang w:eastAsia="ru-RU"/>
        </w:rPr>
        <w:t xml:space="preserve"> </w:t>
      </w:r>
      <w:r w:rsidRPr="00F076B7">
        <w:rPr>
          <w:rFonts w:ascii="Arial" w:eastAsia="Times New Roman" w:hAnsi="Arial" w:cs="Arial"/>
          <w:i/>
          <w:iCs/>
          <w:color w:val="212529"/>
          <w:sz w:val="24"/>
          <w:szCs w:val="24"/>
          <w:lang w:eastAsia="ru-RU"/>
        </w:rPr>
        <w:lastRenderedPageBreak/>
        <w:t>района, реконструированы водопровод (водовод) «Лесной» в г. Костюковичи, сети водоснабжения в районе микрорайонов «</w:t>
      </w:r>
      <w:proofErr w:type="spellStart"/>
      <w:r w:rsidRPr="00F076B7">
        <w:rPr>
          <w:rFonts w:ascii="Arial" w:eastAsia="Times New Roman" w:hAnsi="Arial" w:cs="Arial"/>
          <w:i/>
          <w:iCs/>
          <w:color w:val="212529"/>
          <w:sz w:val="24"/>
          <w:szCs w:val="24"/>
          <w:lang w:eastAsia="ru-RU"/>
        </w:rPr>
        <w:t>Сож</w:t>
      </w:r>
      <w:proofErr w:type="spellEnd"/>
      <w:r w:rsidRPr="00F076B7">
        <w:rPr>
          <w:rFonts w:ascii="Arial" w:eastAsia="Times New Roman" w:hAnsi="Arial" w:cs="Arial"/>
          <w:i/>
          <w:iCs/>
          <w:color w:val="212529"/>
          <w:sz w:val="24"/>
          <w:szCs w:val="24"/>
          <w:lang w:eastAsia="ru-RU"/>
        </w:rPr>
        <w:t>» и «Комсомольский» в г. Кричеве.</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Дополнительный импульс развитию производственного потенциала и инвестиционной активности регионов страны придала реализация </w:t>
      </w:r>
      <w:r w:rsidRPr="00F076B7">
        <w:rPr>
          <w:rFonts w:ascii="Arial" w:eastAsia="Times New Roman" w:hAnsi="Arial" w:cs="Arial"/>
          <w:b/>
          <w:bCs/>
          <w:color w:val="212529"/>
          <w:sz w:val="24"/>
          <w:szCs w:val="24"/>
          <w:lang w:eastAsia="ru-RU"/>
        </w:rPr>
        <w:t xml:space="preserve">инициативы Главы государства </w:t>
      </w:r>
      <w:proofErr w:type="spellStart"/>
      <w:r w:rsidRPr="00F076B7">
        <w:rPr>
          <w:rFonts w:ascii="Arial" w:eastAsia="Times New Roman" w:hAnsi="Arial" w:cs="Arial"/>
          <w:b/>
          <w:bCs/>
          <w:color w:val="212529"/>
          <w:sz w:val="24"/>
          <w:szCs w:val="24"/>
          <w:lang w:eastAsia="ru-RU"/>
        </w:rPr>
        <w:t>А.Г.Лукашенко</w:t>
      </w:r>
      <w:proofErr w:type="spellEnd"/>
      <w:r w:rsidRPr="00F076B7">
        <w:rPr>
          <w:rFonts w:ascii="Arial" w:eastAsia="Times New Roman" w:hAnsi="Arial" w:cs="Arial"/>
          <w:b/>
          <w:bCs/>
          <w:color w:val="212529"/>
          <w:sz w:val="24"/>
          <w:szCs w:val="24"/>
          <w:lang w:eastAsia="ru-RU"/>
        </w:rPr>
        <w:t xml:space="preserve"> «Один район – один проект»</w:t>
      </w:r>
      <w:r w:rsidRPr="00F076B7">
        <w:rPr>
          <w:rFonts w:ascii="Arial" w:eastAsia="Times New Roman" w:hAnsi="Arial" w:cs="Arial"/>
          <w:color w:val="212529"/>
          <w:sz w:val="24"/>
          <w:szCs w:val="24"/>
          <w:lang w:eastAsia="ru-RU"/>
        </w:rPr>
        <w:t>. За годы ее реализации </w:t>
      </w:r>
      <w:r w:rsidRPr="00F076B7">
        <w:rPr>
          <w:rFonts w:ascii="Arial" w:eastAsia="Times New Roman" w:hAnsi="Arial" w:cs="Arial"/>
          <w:b/>
          <w:bCs/>
          <w:color w:val="212529"/>
          <w:sz w:val="24"/>
          <w:szCs w:val="24"/>
          <w:lang w:eastAsia="ru-RU"/>
        </w:rPr>
        <w:t>количество проектов возросло в 1,7 раза</w:t>
      </w:r>
      <w:r w:rsidRPr="00F076B7">
        <w:rPr>
          <w:rFonts w:ascii="Arial" w:eastAsia="Times New Roman" w:hAnsi="Arial" w:cs="Arial"/>
          <w:color w:val="212529"/>
          <w:sz w:val="24"/>
          <w:szCs w:val="24"/>
          <w:lang w:eastAsia="ru-RU"/>
        </w:rPr>
        <w:t xml:space="preserve">. В 22 из 118 районов реализовано по два проекта, например, в </w:t>
      </w:r>
      <w:proofErr w:type="spellStart"/>
      <w:r w:rsidRPr="00F076B7">
        <w:rPr>
          <w:rFonts w:ascii="Arial" w:eastAsia="Times New Roman" w:hAnsi="Arial" w:cs="Arial"/>
          <w:color w:val="212529"/>
          <w:sz w:val="24"/>
          <w:szCs w:val="24"/>
          <w:lang w:eastAsia="ru-RU"/>
        </w:rPr>
        <w:t>Столинском</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Докшицком</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Ивьевском</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Глусском</w:t>
      </w:r>
      <w:proofErr w:type="spellEnd"/>
      <w:r w:rsidRPr="00F076B7">
        <w:rPr>
          <w:rFonts w:ascii="Arial" w:eastAsia="Times New Roman" w:hAnsi="Arial" w:cs="Arial"/>
          <w:color w:val="212529"/>
          <w:sz w:val="24"/>
          <w:szCs w:val="24"/>
          <w:lang w:eastAsia="ru-RU"/>
        </w:rPr>
        <w:t xml:space="preserve"> районах, в </w:t>
      </w:r>
      <w:proofErr w:type="spellStart"/>
      <w:r w:rsidRPr="00F076B7">
        <w:rPr>
          <w:rFonts w:ascii="Arial" w:eastAsia="Times New Roman" w:hAnsi="Arial" w:cs="Arial"/>
          <w:color w:val="212529"/>
          <w:sz w:val="24"/>
          <w:szCs w:val="24"/>
          <w:lang w:eastAsia="ru-RU"/>
        </w:rPr>
        <w:t>Пуховичском</w:t>
      </w:r>
      <w:proofErr w:type="spellEnd"/>
      <w:r w:rsidRPr="00F076B7">
        <w:rPr>
          <w:rFonts w:ascii="Arial" w:eastAsia="Times New Roman" w:hAnsi="Arial" w:cs="Arial"/>
          <w:color w:val="212529"/>
          <w:sz w:val="24"/>
          <w:szCs w:val="24"/>
          <w:lang w:eastAsia="ru-RU"/>
        </w:rPr>
        <w:t xml:space="preserve"> районе – три проекта.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По количеству проектов наибольший удельный вес приходится на обрабатывающую промышленность, а именно: пищевую промышленность – 51 проект, металлургическое производство, производство машин и оборудования – 29, деревообработку – 29, сельское, лесное и рыбное хозяйство – 23.</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Реализация многих проектов обеспечила выпуск новой для Беларуси продукции. К примеру, в г. Дзержинске начат выпуск лесозаготовительной техники (</w:t>
      </w:r>
      <w:proofErr w:type="spellStart"/>
      <w:r w:rsidRPr="00F076B7">
        <w:rPr>
          <w:rFonts w:ascii="Arial" w:eastAsia="Times New Roman" w:hAnsi="Arial" w:cs="Arial"/>
          <w:color w:val="212529"/>
          <w:sz w:val="24"/>
          <w:szCs w:val="24"/>
          <w:lang w:eastAsia="ru-RU"/>
        </w:rPr>
        <w:t>форвардеров</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харвестеров</w:t>
      </w:r>
      <w:proofErr w:type="spellEnd"/>
      <w:r w:rsidRPr="00F076B7">
        <w:rPr>
          <w:rFonts w:ascii="Arial" w:eastAsia="Times New Roman" w:hAnsi="Arial" w:cs="Arial"/>
          <w:color w:val="212529"/>
          <w:sz w:val="24"/>
          <w:szCs w:val="24"/>
          <w:lang w:eastAsia="ru-RU"/>
        </w:rPr>
        <w:t>) в ОАО «</w:t>
      </w:r>
      <w:proofErr w:type="spellStart"/>
      <w:r w:rsidRPr="00F076B7">
        <w:rPr>
          <w:rFonts w:ascii="Arial" w:eastAsia="Times New Roman" w:hAnsi="Arial" w:cs="Arial"/>
          <w:color w:val="212529"/>
          <w:sz w:val="24"/>
          <w:szCs w:val="24"/>
          <w:lang w:eastAsia="ru-RU"/>
        </w:rPr>
        <w:t>Амкодор-Семаш</w:t>
      </w:r>
      <w:proofErr w:type="spellEnd"/>
      <w:r w:rsidRPr="00F076B7">
        <w:rPr>
          <w:rFonts w:ascii="Arial" w:eastAsia="Times New Roman" w:hAnsi="Arial" w:cs="Arial"/>
          <w:color w:val="212529"/>
          <w:sz w:val="24"/>
          <w:szCs w:val="24"/>
          <w:lang w:eastAsia="ru-RU"/>
        </w:rPr>
        <w:t>», в г. Могилеве – технического углерода. На данных производствах создано почти 600 новых рабочих мест.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Успешно развивалось в 2021–2025 гг. </w:t>
      </w:r>
      <w:r w:rsidRPr="00F076B7">
        <w:rPr>
          <w:rFonts w:ascii="Arial" w:eastAsia="Times New Roman" w:hAnsi="Arial" w:cs="Arial"/>
          <w:b/>
          <w:bCs/>
          <w:color w:val="212529"/>
          <w:sz w:val="24"/>
          <w:szCs w:val="24"/>
          <w:lang w:eastAsia="ru-RU"/>
        </w:rPr>
        <w:t>сельское хозяйство</w:t>
      </w:r>
      <w:r w:rsidRPr="00F076B7">
        <w:rPr>
          <w:rFonts w:ascii="Arial" w:eastAsia="Times New Roman" w:hAnsi="Arial" w:cs="Arial"/>
          <w:color w:val="212529"/>
          <w:sz w:val="24"/>
          <w:szCs w:val="24"/>
          <w:lang w:eastAsia="ru-RU"/>
        </w:rPr>
        <w:t>: темп производства аграрной продукции в хозяйствах всех категорий за пятилетку в целом по стране составил 104,2 % к 2020 году.</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В 2025 году аграрии страны достигли рекордной отметки в 9,1 </w:t>
      </w:r>
      <w:proofErr w:type="gramStart"/>
      <w:r w:rsidRPr="00F076B7">
        <w:rPr>
          <w:rFonts w:ascii="Arial" w:eastAsia="Times New Roman" w:hAnsi="Arial" w:cs="Arial"/>
          <w:i/>
          <w:iCs/>
          <w:color w:val="212529"/>
          <w:sz w:val="24"/>
          <w:szCs w:val="24"/>
          <w:lang w:eastAsia="ru-RU"/>
        </w:rPr>
        <w:t>млн</w:t>
      </w:r>
      <w:proofErr w:type="gramEnd"/>
      <w:r w:rsidRPr="00F076B7">
        <w:rPr>
          <w:rFonts w:ascii="Arial" w:eastAsia="Times New Roman" w:hAnsi="Arial" w:cs="Arial"/>
          <w:i/>
          <w:iCs/>
          <w:color w:val="212529"/>
          <w:sz w:val="24"/>
          <w:szCs w:val="24"/>
          <w:lang w:eastAsia="ru-RU"/>
        </w:rPr>
        <w:t> т собранных зерновых, 5,8 млн т – свеклы сахарной; сбор картофеля составил 113,0 %, а овощей – 106,5 % к 2024 году.</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В пятилетке страна перешагнула шеститысячный рубеж по среднему удою молока на корову.</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color w:val="212529"/>
          <w:sz w:val="24"/>
          <w:szCs w:val="24"/>
          <w:lang w:eastAsia="ru-RU"/>
        </w:rPr>
        <w:t>В области жилищного строительства и обеспечения граждан жильем Республика Беларусь вышла на устойчивые положительные результаты.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 2021 года жилищный фонд увеличен на 2,2 % </w:t>
      </w:r>
      <w:r w:rsidRPr="00F076B7">
        <w:rPr>
          <w:rFonts w:ascii="Arial" w:eastAsia="Times New Roman" w:hAnsi="Arial" w:cs="Arial"/>
          <w:i/>
          <w:iCs/>
          <w:color w:val="212529"/>
          <w:sz w:val="24"/>
          <w:szCs w:val="24"/>
          <w:lang w:eastAsia="ru-RU"/>
        </w:rPr>
        <w:t>(с 267,7 </w:t>
      </w:r>
      <w:proofErr w:type="gramStart"/>
      <w:r w:rsidRPr="00F076B7">
        <w:rPr>
          <w:rFonts w:ascii="Arial" w:eastAsia="Times New Roman" w:hAnsi="Arial" w:cs="Arial"/>
          <w:i/>
          <w:iCs/>
          <w:color w:val="212529"/>
          <w:sz w:val="24"/>
          <w:szCs w:val="24"/>
          <w:lang w:eastAsia="ru-RU"/>
        </w:rPr>
        <w:t>млн</w:t>
      </w:r>
      <w:proofErr w:type="gramEnd"/>
      <w:r w:rsidRPr="00F076B7">
        <w:rPr>
          <w:rFonts w:ascii="Arial" w:eastAsia="Times New Roman" w:hAnsi="Arial" w:cs="Arial"/>
          <w:i/>
          <w:iCs/>
          <w:color w:val="212529"/>
          <w:sz w:val="24"/>
          <w:szCs w:val="24"/>
          <w:lang w:eastAsia="ru-RU"/>
        </w:rPr>
        <w:t> кв. м до 276,7 млн кв. м в 2024 году)</w:t>
      </w:r>
      <w:r w:rsidRPr="00F076B7">
        <w:rPr>
          <w:rFonts w:ascii="Arial" w:eastAsia="Times New Roman" w:hAnsi="Arial" w:cs="Arial"/>
          <w:color w:val="212529"/>
          <w:sz w:val="24"/>
          <w:szCs w:val="24"/>
          <w:lang w:eastAsia="ru-RU"/>
        </w:rPr>
        <w:t>. Задача по строительству общей площади жилья выполнена. За 2021–2025 гг. введено в эксплуатацию 21,8 </w:t>
      </w:r>
      <w:proofErr w:type="gramStart"/>
      <w:r w:rsidRPr="00F076B7">
        <w:rPr>
          <w:rFonts w:ascii="Arial" w:eastAsia="Times New Roman" w:hAnsi="Arial" w:cs="Arial"/>
          <w:color w:val="212529"/>
          <w:sz w:val="24"/>
          <w:szCs w:val="24"/>
          <w:lang w:eastAsia="ru-RU"/>
        </w:rPr>
        <w:t>млн</w:t>
      </w:r>
      <w:proofErr w:type="gramEnd"/>
      <w:r w:rsidRPr="00F076B7">
        <w:rPr>
          <w:rFonts w:ascii="Arial" w:eastAsia="Times New Roman" w:hAnsi="Arial" w:cs="Arial"/>
          <w:color w:val="212529"/>
          <w:sz w:val="24"/>
          <w:szCs w:val="24"/>
          <w:lang w:eastAsia="ru-RU"/>
        </w:rPr>
        <w:t> кв. м нового жилья при заявленных – 21,4 млн кв. м.</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color w:val="212529"/>
          <w:sz w:val="24"/>
          <w:szCs w:val="24"/>
          <w:lang w:eastAsia="ru-RU"/>
        </w:rPr>
        <w:t>По уровню обеспеченности населения жильем Беларусь занимает одно из лидирующих мест среди стран СНГ.</w:t>
      </w:r>
      <w:r w:rsidRPr="00F076B7">
        <w:rPr>
          <w:rFonts w:ascii="Arial" w:eastAsia="Times New Roman" w:hAnsi="Arial" w:cs="Arial"/>
          <w:color w:val="212529"/>
          <w:sz w:val="24"/>
          <w:szCs w:val="24"/>
          <w:lang w:eastAsia="ru-RU"/>
        </w:rPr>
        <w:t> В целом по республике в расчете на одного жителя этот показатель увеличился с 28,3 кв. м в 2020 году до 30,4 кв. м в 2024 году, в том числе в каждом регионе.</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i/>
          <w:iCs/>
          <w:color w:val="212529"/>
          <w:sz w:val="24"/>
          <w:szCs w:val="24"/>
          <w:lang w:eastAsia="ru-RU"/>
        </w:rPr>
        <w:t>В Брестской области общая площадь на одного жителя увеличилась с 30,1 до 32,5 кв. м, в Витебской – с 28,9 до 30,9 кв. м, в Гомельской – с 27,3 до 29,2 кв. м, в Гродненской – с 31,3 до 33,5 кв. м, в Минской – с 31,2 до 33,9 кв. м, в Могилевской – с 29,4 до 31,7 кв. м, в г. Минске – с 23,2</w:t>
      </w:r>
      <w:proofErr w:type="gramEnd"/>
      <w:r w:rsidRPr="00F076B7">
        <w:rPr>
          <w:rFonts w:ascii="Arial" w:eastAsia="Times New Roman" w:hAnsi="Arial" w:cs="Arial"/>
          <w:i/>
          <w:iCs/>
          <w:color w:val="212529"/>
          <w:sz w:val="24"/>
          <w:szCs w:val="24"/>
          <w:lang w:eastAsia="ru-RU"/>
        </w:rPr>
        <w:t xml:space="preserve"> до 24,7 кв. м.</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Набирает темп </w:t>
      </w:r>
      <w:r w:rsidRPr="00F076B7">
        <w:rPr>
          <w:rFonts w:ascii="Arial" w:eastAsia="Times New Roman" w:hAnsi="Arial" w:cs="Arial"/>
          <w:b/>
          <w:bCs/>
          <w:color w:val="212529"/>
          <w:sz w:val="24"/>
          <w:szCs w:val="24"/>
          <w:lang w:eastAsia="ru-RU"/>
        </w:rPr>
        <w:t>строительство арендного жилья</w:t>
      </w:r>
      <w:r w:rsidRPr="00F076B7">
        <w:rPr>
          <w:rFonts w:ascii="Arial" w:eastAsia="Times New Roman" w:hAnsi="Arial" w:cs="Arial"/>
          <w:color w:val="212529"/>
          <w:sz w:val="24"/>
          <w:szCs w:val="24"/>
          <w:lang w:eastAsia="ru-RU"/>
        </w:rPr>
        <w:t xml:space="preserve">. Его доля в общем объеме жилищного строительства увеличилась с 3,1 % в 2021 году до 9,7 % в 2025 году. С 2021 года построено 1,47 </w:t>
      </w:r>
      <w:proofErr w:type="gramStart"/>
      <w:r w:rsidRPr="00F076B7">
        <w:rPr>
          <w:rFonts w:ascii="Arial" w:eastAsia="Times New Roman" w:hAnsi="Arial" w:cs="Arial"/>
          <w:color w:val="212529"/>
          <w:sz w:val="24"/>
          <w:szCs w:val="24"/>
          <w:lang w:eastAsia="ru-RU"/>
        </w:rPr>
        <w:t>млн</w:t>
      </w:r>
      <w:proofErr w:type="gramEnd"/>
      <w:r w:rsidRPr="00F076B7">
        <w:rPr>
          <w:rFonts w:ascii="Arial" w:eastAsia="Times New Roman" w:hAnsi="Arial" w:cs="Arial"/>
          <w:color w:val="212529"/>
          <w:sz w:val="24"/>
          <w:szCs w:val="24"/>
          <w:lang w:eastAsia="ru-RU"/>
        </w:rPr>
        <w:t xml:space="preserve"> кв. м арендного жилья, что в 2 раза превышает задание Программы (675 тыс. кв. м).</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lastRenderedPageBreak/>
        <w:t>Выросло </w:t>
      </w:r>
      <w:r w:rsidRPr="00F076B7">
        <w:rPr>
          <w:rFonts w:ascii="Arial" w:eastAsia="Times New Roman" w:hAnsi="Arial" w:cs="Arial"/>
          <w:b/>
          <w:bCs/>
          <w:color w:val="212529"/>
          <w:sz w:val="24"/>
          <w:szCs w:val="24"/>
          <w:lang w:eastAsia="ru-RU"/>
        </w:rPr>
        <w:t>строительство жилья в сельских населенных пунктах и малых городских поселениях</w:t>
      </w:r>
      <w:r w:rsidRPr="00F076B7">
        <w:rPr>
          <w:rFonts w:ascii="Arial" w:eastAsia="Times New Roman" w:hAnsi="Arial" w:cs="Arial"/>
          <w:color w:val="212529"/>
          <w:sz w:val="24"/>
          <w:szCs w:val="24"/>
          <w:lang w:eastAsia="ru-RU"/>
        </w:rPr>
        <w:t>: за 2021–2025 гг. введено в эксплуатацию жилых домов общей площадью 9,3 </w:t>
      </w:r>
      <w:proofErr w:type="gramStart"/>
      <w:r w:rsidRPr="00F076B7">
        <w:rPr>
          <w:rFonts w:ascii="Arial" w:eastAsia="Times New Roman" w:hAnsi="Arial" w:cs="Arial"/>
          <w:color w:val="212529"/>
          <w:sz w:val="24"/>
          <w:szCs w:val="24"/>
          <w:lang w:eastAsia="ru-RU"/>
        </w:rPr>
        <w:t>млн</w:t>
      </w:r>
      <w:proofErr w:type="gramEnd"/>
      <w:r w:rsidRPr="00F076B7">
        <w:rPr>
          <w:rFonts w:ascii="Arial" w:eastAsia="Times New Roman" w:hAnsi="Arial" w:cs="Arial"/>
          <w:color w:val="212529"/>
          <w:sz w:val="24"/>
          <w:szCs w:val="24"/>
          <w:lang w:eastAsia="ru-RU"/>
        </w:rPr>
        <w:t> кв. м, что составило 42,8 % от общего объема вводимого жилья.</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color w:val="212529"/>
          <w:sz w:val="24"/>
          <w:szCs w:val="24"/>
          <w:lang w:eastAsia="ru-RU"/>
        </w:rPr>
        <w:t>Реальная заработная плата увеличилась в 1,4 раза, в том числе во всех областях: от 1,4 раза в Витебской области до 1,5 раза – в Гродненской и Брестской областях (в г. Минске – в 1,3 раза).</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Росту благосостояния населения способствовала </w:t>
      </w:r>
      <w:r w:rsidRPr="00F076B7">
        <w:rPr>
          <w:rFonts w:ascii="Arial" w:eastAsia="Times New Roman" w:hAnsi="Arial" w:cs="Arial"/>
          <w:b/>
          <w:bCs/>
          <w:color w:val="212529"/>
          <w:sz w:val="24"/>
          <w:szCs w:val="24"/>
          <w:lang w:eastAsia="ru-RU"/>
        </w:rPr>
        <w:t>устойчивая ценовая ситуация в стране</w:t>
      </w:r>
      <w:r w:rsidRPr="00F076B7">
        <w:rPr>
          <w:rFonts w:ascii="Arial" w:eastAsia="Times New Roman" w:hAnsi="Arial" w:cs="Arial"/>
          <w:color w:val="212529"/>
          <w:sz w:val="24"/>
          <w:szCs w:val="24"/>
          <w:lang w:eastAsia="ru-RU"/>
        </w:rPr>
        <w:t>. В прошедшей пятилетке цены росли темпами в среднем 8,1 % в год. Это </w:t>
      </w:r>
      <w:r w:rsidRPr="00F076B7">
        <w:rPr>
          <w:rFonts w:ascii="Arial" w:eastAsia="Times New Roman" w:hAnsi="Arial" w:cs="Arial"/>
          <w:b/>
          <w:bCs/>
          <w:color w:val="212529"/>
          <w:sz w:val="24"/>
          <w:szCs w:val="24"/>
          <w:lang w:eastAsia="ru-RU"/>
        </w:rPr>
        <w:t>одно из самых низких значений инфляции за всю историю</w:t>
      </w:r>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целом по стране в 2021–2025 гг. реализовывалось 25 государственных программ социально-экономической направленности, 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Так, в соответствии с государственной программой «Комфортное жилье и благоприятная среда»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обеспечить 100 % потребителей качественной питьевой водой.</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Заменено 2 017,6 км тепловых сетей со сверхнормативными сроками эксплуатации. Подключено более 100 населенных пунктов к существующим централизованным системам водоснабжения с водой нормативного качества. Обеспечен перевод г. Минска на подземные источники водоснабжения.</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Выполнена модернизация (реконструкция) 127 газовых котельных и более 400 котельных на местных топливно-энергетических ресурсах.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рамках государственной программы «Дороги Беларуси» отремонтировано 18 529 км дорог, в том числе местных – 11 836 км и более 480 мостов, из них порядка 200 мостов на местных дорогах.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color w:val="212529"/>
          <w:sz w:val="24"/>
          <w:szCs w:val="24"/>
          <w:lang w:eastAsia="ru-RU"/>
        </w:rPr>
        <w:t>При реализации государственной программы «Культура Беларуси» проведена работа по созданию и развитию национальных культурных брендов, введен в эксплуатацию 51 объект учреждений культуры, например, реконструирован храм Александра Невского в г. Минске, построен музей Воинской Славы Могилевской области в районе мемориального комплекса «</w:t>
      </w:r>
      <w:proofErr w:type="spellStart"/>
      <w:r w:rsidRPr="00F076B7">
        <w:rPr>
          <w:rFonts w:ascii="Arial" w:eastAsia="Times New Roman" w:hAnsi="Arial" w:cs="Arial"/>
          <w:color w:val="212529"/>
          <w:sz w:val="24"/>
          <w:szCs w:val="24"/>
          <w:lang w:eastAsia="ru-RU"/>
        </w:rPr>
        <w:t>Буйничское</w:t>
      </w:r>
      <w:proofErr w:type="spellEnd"/>
      <w:r w:rsidRPr="00F076B7">
        <w:rPr>
          <w:rFonts w:ascii="Arial" w:eastAsia="Times New Roman" w:hAnsi="Arial" w:cs="Arial"/>
          <w:color w:val="212529"/>
          <w:sz w:val="24"/>
          <w:szCs w:val="24"/>
          <w:lang w:eastAsia="ru-RU"/>
        </w:rPr>
        <w:t xml:space="preserve"> поле» в г. Могилеве, мемориальный комплекс узникам </w:t>
      </w:r>
      <w:proofErr w:type="spellStart"/>
      <w:r w:rsidRPr="00F076B7">
        <w:rPr>
          <w:rFonts w:ascii="Arial" w:eastAsia="Times New Roman" w:hAnsi="Arial" w:cs="Arial"/>
          <w:color w:val="212529"/>
          <w:sz w:val="24"/>
          <w:szCs w:val="24"/>
          <w:lang w:eastAsia="ru-RU"/>
        </w:rPr>
        <w:t>Озаричского</w:t>
      </w:r>
      <w:proofErr w:type="spellEnd"/>
      <w:r w:rsidRPr="00F076B7">
        <w:rPr>
          <w:rFonts w:ascii="Arial" w:eastAsia="Times New Roman" w:hAnsi="Arial" w:cs="Arial"/>
          <w:color w:val="212529"/>
          <w:sz w:val="24"/>
          <w:szCs w:val="24"/>
          <w:lang w:eastAsia="ru-RU"/>
        </w:rPr>
        <w:t xml:space="preserve"> лагеря смерти в </w:t>
      </w:r>
      <w:proofErr w:type="spellStart"/>
      <w:r w:rsidRPr="00F076B7">
        <w:rPr>
          <w:rFonts w:ascii="Arial" w:eastAsia="Times New Roman" w:hAnsi="Arial" w:cs="Arial"/>
          <w:color w:val="212529"/>
          <w:sz w:val="24"/>
          <w:szCs w:val="24"/>
          <w:lang w:eastAsia="ru-RU"/>
        </w:rPr>
        <w:t>Калинковичском</w:t>
      </w:r>
      <w:proofErr w:type="spellEnd"/>
      <w:r w:rsidRPr="00F076B7">
        <w:rPr>
          <w:rFonts w:ascii="Arial" w:eastAsia="Times New Roman" w:hAnsi="Arial" w:cs="Arial"/>
          <w:color w:val="212529"/>
          <w:sz w:val="24"/>
          <w:szCs w:val="24"/>
          <w:lang w:eastAsia="ru-RU"/>
        </w:rPr>
        <w:t xml:space="preserve"> районе Гомельской области.</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Для приобщения населения к регулярным занятиям физической культурой и спортом за прошедшую пятилетку по государственной программе «Физическая культура и спорт» введено в эксплуатацию 38 мини-футбольных площадок, построено19 </w:t>
      </w:r>
      <w:proofErr w:type="spellStart"/>
      <w:r w:rsidRPr="00F076B7">
        <w:rPr>
          <w:rFonts w:ascii="Arial" w:eastAsia="Times New Roman" w:hAnsi="Arial" w:cs="Arial"/>
          <w:color w:val="212529"/>
          <w:sz w:val="24"/>
          <w:szCs w:val="24"/>
          <w:lang w:eastAsia="ru-RU"/>
        </w:rPr>
        <w:t>ФОКов</w:t>
      </w:r>
      <w:proofErr w:type="spellEnd"/>
      <w:r w:rsidRPr="00F076B7">
        <w:rPr>
          <w:rFonts w:ascii="Arial" w:eastAsia="Times New Roman" w:hAnsi="Arial" w:cs="Arial"/>
          <w:color w:val="212529"/>
          <w:sz w:val="24"/>
          <w:szCs w:val="24"/>
          <w:lang w:eastAsia="ru-RU"/>
        </w:rPr>
        <w:t>, завершены работы по 41 объекту спортивной инфраструктуры.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соответствии с государственной программой «Здоровье народа и демографическая безопасность» построено 25 амбулаторно-поликлинических организаций и проведена реконструкция более 90 объектов учреждений здравоохранения.</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В целях повышения качества и доступности медицинской помощи для жителей малонаселенных и отдаленных районов реализуется комплекс мер по </w:t>
      </w:r>
      <w:r w:rsidRPr="00F076B7">
        <w:rPr>
          <w:rFonts w:ascii="Arial" w:eastAsia="Times New Roman" w:hAnsi="Arial" w:cs="Arial"/>
          <w:color w:val="212529"/>
          <w:sz w:val="24"/>
          <w:szCs w:val="24"/>
          <w:lang w:eastAsia="ru-RU"/>
        </w:rPr>
        <w:lastRenderedPageBreak/>
        <w:t>развитию регионального здравоохранения. Функционируют 129 передвижных медицинских фельдшерско-акушерских пунктов, которые обеспечивают проведение комплекса профилактических медицинских обследований, медицинский осмотр пациентов, реализацию лекарственных препаратов.</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Созданы межрайонные центры по оказанию специализированной и высокотехнологичной медицинской помощи в 16 городах.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Для обеспечения доступа к качественному образованию (государственная программа «Образование и молодежная политика») построено и реконструировано порядка 60 учреждений дошкольного образования более чем на 12,3 тыс. мест, около 80 учреждений общего среднего образования на 22,8 тыс. мест.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b/>
          <w:bCs/>
          <w:color w:val="212529"/>
          <w:sz w:val="24"/>
          <w:szCs w:val="24"/>
          <w:lang w:eastAsia="ru-RU"/>
        </w:rPr>
        <w:t>В</w:t>
      </w:r>
      <w:r w:rsidRPr="00F076B7">
        <w:rPr>
          <w:rFonts w:ascii="Arial" w:eastAsia="Times New Roman" w:hAnsi="Arial" w:cs="Arial"/>
          <w:color w:val="212529"/>
          <w:sz w:val="24"/>
          <w:szCs w:val="24"/>
          <w:lang w:eastAsia="ru-RU"/>
        </w:rPr>
        <w:t> </w:t>
      </w:r>
      <w:hyperlink r:id="rId7" w:anchor="%D0%A3%D1%82%D0%B2_1" w:history="1">
        <w:r w:rsidRPr="00F076B7">
          <w:rPr>
            <w:rFonts w:ascii="Arial" w:eastAsia="Times New Roman" w:hAnsi="Arial" w:cs="Arial"/>
            <w:b/>
            <w:bCs/>
            <w:color w:val="000CFF"/>
            <w:sz w:val="24"/>
            <w:szCs w:val="24"/>
            <w:lang w:eastAsia="ru-RU"/>
          </w:rPr>
          <w:t>Программе</w:t>
        </w:r>
      </w:hyperlink>
      <w:r w:rsidRPr="00F076B7">
        <w:rPr>
          <w:rFonts w:ascii="Arial" w:eastAsia="Times New Roman" w:hAnsi="Arial" w:cs="Arial"/>
          <w:color w:val="212529"/>
          <w:sz w:val="24"/>
          <w:szCs w:val="24"/>
          <w:lang w:eastAsia="ru-RU"/>
        </w:rPr>
        <w:t> </w:t>
      </w:r>
      <w:r w:rsidRPr="00F076B7">
        <w:rPr>
          <w:rFonts w:ascii="Arial" w:eastAsia="Times New Roman" w:hAnsi="Arial" w:cs="Arial"/>
          <w:b/>
          <w:bCs/>
          <w:color w:val="212529"/>
          <w:sz w:val="24"/>
          <w:szCs w:val="24"/>
          <w:lang w:eastAsia="ru-RU"/>
        </w:rPr>
        <w:t>социально-экономического развития Республики Беларусь на 2026–2030 гг.</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(утверждена</w:t>
      </w:r>
      <w:r w:rsidRPr="00F076B7">
        <w:rPr>
          <w:rFonts w:ascii="Arial" w:eastAsia="Times New Roman" w:hAnsi="Arial" w:cs="Arial"/>
          <w:color w:val="212529"/>
          <w:sz w:val="24"/>
          <w:szCs w:val="24"/>
          <w:lang w:eastAsia="ru-RU"/>
        </w:rPr>
        <w:t> </w:t>
      </w:r>
      <w:r w:rsidRPr="00F076B7">
        <w:rPr>
          <w:rFonts w:ascii="Arial" w:eastAsia="Times New Roman" w:hAnsi="Arial" w:cs="Arial"/>
          <w:i/>
          <w:iCs/>
          <w:color w:val="212529"/>
          <w:sz w:val="24"/>
          <w:szCs w:val="24"/>
          <w:lang w:eastAsia="ru-RU"/>
        </w:rPr>
        <w:t>решением Всебелорусского народного собрания № 1 от 19 декабря 2025 г.)</w:t>
      </w:r>
      <w:r w:rsidRPr="00F076B7">
        <w:rPr>
          <w:rFonts w:ascii="Arial" w:eastAsia="Times New Roman" w:hAnsi="Arial" w:cs="Arial"/>
          <w:color w:val="212529"/>
          <w:sz w:val="24"/>
          <w:szCs w:val="24"/>
          <w:lang w:eastAsia="ru-RU"/>
        </w:rPr>
        <w:t> сохранена преемственность предыдущей пятилетки – создание в регионах равных возможностей для достижения высокого уровня и качества жизни населения. «Сильные регионы» – один из семи приоритетов текущей пятилетки.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При этом для развития регионов используется одновременно два подхода.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Первый подход: территории регионов развиваются </w:t>
      </w:r>
      <w:r w:rsidRPr="00F076B7">
        <w:rPr>
          <w:rFonts w:ascii="Arial" w:eastAsia="Times New Roman" w:hAnsi="Arial" w:cs="Arial"/>
          <w:b/>
          <w:bCs/>
          <w:color w:val="212529"/>
          <w:sz w:val="24"/>
          <w:szCs w:val="24"/>
          <w:lang w:eastAsia="ru-RU"/>
        </w:rPr>
        <w:t>как единый хозяйственный комплекс</w:t>
      </w:r>
      <w:r w:rsidRPr="00F076B7">
        <w:rPr>
          <w:rFonts w:ascii="Arial" w:eastAsia="Times New Roman" w:hAnsi="Arial" w:cs="Arial"/>
          <w:color w:val="212529"/>
          <w:sz w:val="24"/>
          <w:szCs w:val="24"/>
          <w:lang w:eastAsia="ru-RU"/>
        </w:rPr>
        <w:t>, вовлекая в социально-экономические процессы все населенные пункты и ресурсы.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Второй подход: </w:t>
      </w:r>
      <w:r w:rsidRPr="00F076B7">
        <w:rPr>
          <w:rFonts w:ascii="Arial" w:eastAsia="Times New Roman" w:hAnsi="Arial" w:cs="Arial"/>
          <w:b/>
          <w:bCs/>
          <w:color w:val="212529"/>
          <w:sz w:val="24"/>
          <w:szCs w:val="24"/>
          <w:lang w:eastAsia="ru-RU"/>
        </w:rPr>
        <w:t>для каждого региона</w:t>
      </w:r>
      <w:r w:rsidRPr="00F076B7">
        <w:rPr>
          <w:rFonts w:ascii="Arial" w:eastAsia="Times New Roman" w:hAnsi="Arial" w:cs="Arial"/>
          <w:color w:val="212529"/>
          <w:sz w:val="24"/>
          <w:szCs w:val="24"/>
          <w:lang w:eastAsia="ru-RU"/>
        </w:rPr>
        <w:t> предусмотрены свои </w:t>
      </w:r>
      <w:r w:rsidRPr="00F076B7">
        <w:rPr>
          <w:rFonts w:ascii="Arial" w:eastAsia="Times New Roman" w:hAnsi="Arial" w:cs="Arial"/>
          <w:b/>
          <w:bCs/>
          <w:color w:val="212529"/>
          <w:sz w:val="24"/>
          <w:szCs w:val="24"/>
          <w:lang w:eastAsia="ru-RU"/>
        </w:rPr>
        <w:t>приоритетные группы территорий с уникальным потенциалом</w:t>
      </w:r>
      <w:r w:rsidRPr="00F076B7">
        <w:rPr>
          <w:rFonts w:ascii="Arial" w:eastAsia="Times New Roman" w:hAnsi="Arial" w:cs="Arial"/>
          <w:color w:val="212529"/>
          <w:sz w:val="24"/>
          <w:szCs w:val="24"/>
          <w:lang w:eastAsia="ru-RU"/>
        </w:rPr>
        <w:t>. Задействовав его, будет получен дополнительный результат для всего региона.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Дальнейшее развитие получила инициатива «Один район – один проект».</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Новое направление поддержки – кредитный продукт «Технологическая самодостаточность», который призван содействовать повышению технологического суверенитета нашей </w:t>
      </w:r>
      <w:proofErr w:type="gramStart"/>
      <w:r w:rsidRPr="00F076B7">
        <w:rPr>
          <w:rFonts w:ascii="Arial" w:eastAsia="Times New Roman" w:hAnsi="Arial" w:cs="Arial"/>
          <w:color w:val="212529"/>
          <w:sz w:val="24"/>
          <w:szCs w:val="24"/>
          <w:lang w:eastAsia="ru-RU"/>
        </w:rPr>
        <w:t>страны</w:t>
      </w:r>
      <w:proofErr w:type="gramEnd"/>
      <w:r w:rsidRPr="00F076B7">
        <w:rPr>
          <w:rFonts w:ascii="Arial" w:eastAsia="Times New Roman" w:hAnsi="Arial" w:cs="Arial"/>
          <w:color w:val="212529"/>
          <w:sz w:val="24"/>
          <w:szCs w:val="24"/>
          <w:lang w:eastAsia="ru-RU"/>
        </w:rPr>
        <w:t xml:space="preserve"> и подразумевает льготное кредитование:</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импортозамещающих высокотехнологичных проектов;</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проектов, направленных на локализацию производства;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проектов, реализуемых с использованием отечественного сырья – дерева и льна;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проектов для организации произво</w:t>
      </w:r>
      <w:proofErr w:type="gramStart"/>
      <w:r w:rsidRPr="00F076B7">
        <w:rPr>
          <w:rFonts w:ascii="Arial" w:eastAsia="Times New Roman" w:hAnsi="Arial" w:cs="Arial"/>
          <w:color w:val="212529"/>
          <w:sz w:val="24"/>
          <w:szCs w:val="24"/>
          <w:lang w:eastAsia="ru-RU"/>
        </w:rPr>
        <w:t>дств в п</w:t>
      </w:r>
      <w:proofErr w:type="gramEnd"/>
      <w:r w:rsidRPr="00F076B7">
        <w:rPr>
          <w:rFonts w:ascii="Arial" w:eastAsia="Times New Roman" w:hAnsi="Arial" w:cs="Arial"/>
          <w:color w:val="212529"/>
          <w:sz w:val="24"/>
          <w:szCs w:val="24"/>
          <w:lang w:eastAsia="ru-RU"/>
        </w:rPr>
        <w:t>ерспективных промышленных направлениях: робототехнические системы (промышленные роботы), производство беспилотных систем (воздушных и наземных) и продукции на основе биотехнологий;</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проектов промышленной ипотеки – создание производственных зданий для последующей сдачи в аренду, в том числе с правом последующего выкупа.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Предусматриваются следующие </w:t>
      </w:r>
      <w:r w:rsidRPr="00F076B7">
        <w:rPr>
          <w:rFonts w:ascii="Arial" w:eastAsia="Times New Roman" w:hAnsi="Arial" w:cs="Arial"/>
          <w:b/>
          <w:bCs/>
          <w:color w:val="212529"/>
          <w:sz w:val="24"/>
          <w:szCs w:val="24"/>
          <w:lang w:eastAsia="ru-RU"/>
        </w:rPr>
        <w:t>приоритеты в развитии</w:t>
      </w:r>
      <w:r w:rsidRPr="00F076B7">
        <w:rPr>
          <w:rFonts w:ascii="Arial" w:eastAsia="Times New Roman" w:hAnsi="Arial" w:cs="Arial"/>
          <w:color w:val="212529"/>
          <w:sz w:val="24"/>
          <w:szCs w:val="24"/>
          <w:lang w:eastAsia="ru-RU"/>
        </w:rPr>
        <w:t> конкретных </w:t>
      </w:r>
      <w:r w:rsidRPr="00F076B7">
        <w:rPr>
          <w:rFonts w:ascii="Arial" w:eastAsia="Times New Roman" w:hAnsi="Arial" w:cs="Arial"/>
          <w:b/>
          <w:bCs/>
          <w:color w:val="212529"/>
          <w:sz w:val="24"/>
          <w:szCs w:val="24"/>
          <w:lang w:eastAsia="ru-RU"/>
        </w:rPr>
        <w:t>регионов</w:t>
      </w:r>
      <w:r w:rsidRPr="00F076B7">
        <w:rPr>
          <w:rFonts w:ascii="Arial" w:eastAsia="Times New Roman" w:hAnsi="Arial" w:cs="Arial"/>
          <w:color w:val="212529"/>
          <w:sz w:val="24"/>
          <w:szCs w:val="24"/>
          <w:lang w:eastAsia="ru-RU"/>
        </w:rPr>
        <w:t> в 2026–2030 годах.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color w:val="212529"/>
          <w:sz w:val="24"/>
          <w:szCs w:val="24"/>
          <w:lang w:eastAsia="ru-RU"/>
        </w:rPr>
        <w:t>Для</w:t>
      </w:r>
      <w:proofErr w:type="gramEnd"/>
      <w:r w:rsidRPr="00F076B7">
        <w:rPr>
          <w:rFonts w:ascii="Arial" w:eastAsia="Times New Roman" w:hAnsi="Arial" w:cs="Arial"/>
          <w:color w:val="212529"/>
          <w:sz w:val="24"/>
          <w:szCs w:val="24"/>
          <w:lang w:eastAsia="ru-RU"/>
        </w:rPr>
        <w:t> </w:t>
      </w:r>
      <w:proofErr w:type="gramStart"/>
      <w:r w:rsidRPr="00F076B7">
        <w:rPr>
          <w:rFonts w:ascii="Arial" w:eastAsia="Times New Roman" w:hAnsi="Arial" w:cs="Arial"/>
          <w:b/>
          <w:bCs/>
          <w:color w:val="212529"/>
          <w:sz w:val="24"/>
          <w:szCs w:val="24"/>
          <w:lang w:eastAsia="ru-RU"/>
        </w:rPr>
        <w:t>Брестской</w:t>
      </w:r>
      <w:proofErr w:type="gramEnd"/>
      <w:r w:rsidRPr="00F076B7">
        <w:rPr>
          <w:rFonts w:ascii="Arial" w:eastAsia="Times New Roman" w:hAnsi="Arial" w:cs="Arial"/>
          <w:b/>
          <w:bCs/>
          <w:color w:val="212529"/>
          <w:sz w:val="24"/>
          <w:szCs w:val="24"/>
          <w:lang w:eastAsia="ru-RU"/>
        </w:rPr>
        <w:t xml:space="preserve"> и Гомельской областей</w:t>
      </w:r>
      <w:r w:rsidRPr="00F076B7">
        <w:rPr>
          <w:rFonts w:ascii="Arial" w:eastAsia="Times New Roman" w:hAnsi="Arial" w:cs="Arial"/>
          <w:color w:val="212529"/>
          <w:sz w:val="24"/>
          <w:szCs w:val="24"/>
          <w:lang w:eastAsia="ru-RU"/>
        </w:rPr>
        <w:t> основной акцент сделан на развитии </w:t>
      </w:r>
      <w:proofErr w:type="spellStart"/>
      <w:r w:rsidRPr="00F076B7">
        <w:rPr>
          <w:rFonts w:ascii="Arial" w:eastAsia="Times New Roman" w:hAnsi="Arial" w:cs="Arial"/>
          <w:b/>
          <w:bCs/>
          <w:color w:val="212529"/>
          <w:sz w:val="24"/>
          <w:szCs w:val="24"/>
          <w:lang w:eastAsia="ru-RU"/>
        </w:rPr>
        <w:t>Припятского</w:t>
      </w:r>
      <w:proofErr w:type="spellEnd"/>
      <w:r w:rsidRPr="00F076B7">
        <w:rPr>
          <w:rFonts w:ascii="Arial" w:eastAsia="Times New Roman" w:hAnsi="Arial" w:cs="Arial"/>
          <w:b/>
          <w:bCs/>
          <w:color w:val="212529"/>
          <w:sz w:val="24"/>
          <w:szCs w:val="24"/>
          <w:lang w:eastAsia="ru-RU"/>
        </w:rPr>
        <w:t xml:space="preserve"> Полесья</w:t>
      </w:r>
      <w:r w:rsidRPr="00F076B7">
        <w:rPr>
          <w:rFonts w:ascii="Arial" w:eastAsia="Times New Roman" w:hAnsi="Arial" w:cs="Arial"/>
          <w:color w:val="212529"/>
          <w:sz w:val="24"/>
          <w:szCs w:val="24"/>
          <w:lang w:eastAsia="ru-RU"/>
        </w:rPr>
        <w:t>. Инвестиционные проекты будут направлены на создание новых и модернизацию действующих производств по глубокой переработке местных сырьевых ресурсов, а также на внедрение лучших сельскохозяйственных практик в 9 базовых хозяйствах региона.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Точки территориального развития в </w:t>
      </w:r>
      <w:r w:rsidRPr="00F076B7">
        <w:rPr>
          <w:rFonts w:ascii="Arial" w:eastAsia="Times New Roman" w:hAnsi="Arial" w:cs="Arial"/>
          <w:b/>
          <w:bCs/>
          <w:color w:val="212529"/>
          <w:sz w:val="24"/>
          <w:szCs w:val="24"/>
          <w:lang w:eastAsia="ru-RU"/>
        </w:rPr>
        <w:t>Витебской области</w:t>
      </w:r>
      <w:r w:rsidRPr="00F076B7">
        <w:rPr>
          <w:rFonts w:ascii="Arial" w:eastAsia="Times New Roman" w:hAnsi="Arial" w:cs="Arial"/>
          <w:color w:val="212529"/>
          <w:sz w:val="24"/>
          <w:szCs w:val="24"/>
          <w:lang w:eastAsia="ru-RU"/>
        </w:rPr>
        <w:t> – районы </w:t>
      </w:r>
      <w:r w:rsidRPr="00F076B7">
        <w:rPr>
          <w:rFonts w:ascii="Arial" w:eastAsia="Times New Roman" w:hAnsi="Arial" w:cs="Arial"/>
          <w:b/>
          <w:bCs/>
          <w:color w:val="212529"/>
          <w:sz w:val="24"/>
          <w:szCs w:val="24"/>
          <w:lang w:eastAsia="ru-RU"/>
        </w:rPr>
        <w:t xml:space="preserve">Витебского </w:t>
      </w:r>
      <w:proofErr w:type="spellStart"/>
      <w:r w:rsidRPr="00F076B7">
        <w:rPr>
          <w:rFonts w:ascii="Arial" w:eastAsia="Times New Roman" w:hAnsi="Arial" w:cs="Arial"/>
          <w:b/>
          <w:bCs/>
          <w:color w:val="212529"/>
          <w:sz w:val="24"/>
          <w:szCs w:val="24"/>
          <w:lang w:eastAsia="ru-RU"/>
        </w:rPr>
        <w:t>поозерья</w:t>
      </w:r>
      <w:proofErr w:type="spellEnd"/>
      <w:r w:rsidRPr="00F076B7">
        <w:rPr>
          <w:rFonts w:ascii="Arial" w:eastAsia="Times New Roman" w:hAnsi="Arial" w:cs="Arial"/>
          <w:color w:val="212529"/>
          <w:sz w:val="24"/>
          <w:szCs w:val="24"/>
          <w:lang w:eastAsia="ru-RU"/>
        </w:rPr>
        <w:t> (</w:t>
      </w:r>
      <w:proofErr w:type="spellStart"/>
      <w:r w:rsidRPr="00F076B7">
        <w:rPr>
          <w:rFonts w:ascii="Arial" w:eastAsia="Times New Roman" w:hAnsi="Arial" w:cs="Arial"/>
          <w:color w:val="212529"/>
          <w:sz w:val="24"/>
          <w:szCs w:val="24"/>
          <w:lang w:eastAsia="ru-RU"/>
        </w:rPr>
        <w:t>Браславский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Городокский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Докшицкий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Лепельский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Миорский</w:t>
      </w:r>
      <w:proofErr w:type="spellEnd"/>
      <w:r w:rsidRPr="00F076B7">
        <w:rPr>
          <w:rFonts w:ascii="Arial" w:eastAsia="Times New Roman" w:hAnsi="Arial" w:cs="Arial"/>
          <w:color w:val="212529"/>
          <w:sz w:val="24"/>
          <w:szCs w:val="24"/>
          <w:lang w:eastAsia="ru-RU"/>
        </w:rPr>
        <w:t xml:space="preserve">, Полоцкий и </w:t>
      </w:r>
      <w:proofErr w:type="spellStart"/>
      <w:r w:rsidRPr="00F076B7">
        <w:rPr>
          <w:rFonts w:ascii="Arial" w:eastAsia="Times New Roman" w:hAnsi="Arial" w:cs="Arial"/>
          <w:color w:val="212529"/>
          <w:sz w:val="24"/>
          <w:szCs w:val="24"/>
          <w:lang w:eastAsia="ru-RU"/>
        </w:rPr>
        <w:t>Ушачский</w:t>
      </w:r>
      <w:proofErr w:type="spellEnd"/>
      <w:r w:rsidRPr="00F076B7">
        <w:rPr>
          <w:rFonts w:ascii="Arial" w:eastAsia="Times New Roman" w:hAnsi="Arial" w:cs="Arial"/>
          <w:color w:val="212529"/>
          <w:sz w:val="24"/>
          <w:szCs w:val="24"/>
          <w:lang w:eastAsia="ru-RU"/>
        </w:rPr>
        <w:t xml:space="preserve"> районы), в </w:t>
      </w:r>
      <w:r w:rsidRPr="00F076B7">
        <w:rPr>
          <w:rFonts w:ascii="Arial" w:eastAsia="Times New Roman" w:hAnsi="Arial" w:cs="Arial"/>
          <w:b/>
          <w:bCs/>
          <w:color w:val="212529"/>
          <w:sz w:val="24"/>
          <w:szCs w:val="24"/>
          <w:lang w:eastAsia="ru-RU"/>
        </w:rPr>
        <w:t xml:space="preserve">Гродненской области – </w:t>
      </w:r>
      <w:proofErr w:type="spellStart"/>
      <w:r w:rsidRPr="00F076B7">
        <w:rPr>
          <w:rFonts w:ascii="Arial" w:eastAsia="Times New Roman" w:hAnsi="Arial" w:cs="Arial"/>
          <w:b/>
          <w:bCs/>
          <w:color w:val="212529"/>
          <w:sz w:val="24"/>
          <w:szCs w:val="24"/>
          <w:lang w:eastAsia="ru-RU"/>
        </w:rPr>
        <w:t>Принеманский</w:t>
      </w:r>
      <w:proofErr w:type="spellEnd"/>
      <w:r w:rsidRPr="00F076B7">
        <w:rPr>
          <w:rFonts w:ascii="Arial" w:eastAsia="Times New Roman" w:hAnsi="Arial" w:cs="Arial"/>
          <w:b/>
          <w:bCs/>
          <w:color w:val="212529"/>
          <w:sz w:val="24"/>
          <w:szCs w:val="24"/>
          <w:lang w:eastAsia="ru-RU"/>
        </w:rPr>
        <w:t xml:space="preserve"> край</w:t>
      </w:r>
      <w:r w:rsidRPr="00F076B7">
        <w:rPr>
          <w:rFonts w:ascii="Arial" w:eastAsia="Times New Roman" w:hAnsi="Arial" w:cs="Arial"/>
          <w:color w:val="212529"/>
          <w:sz w:val="24"/>
          <w:szCs w:val="24"/>
          <w:lang w:eastAsia="ru-RU"/>
        </w:rPr>
        <w:t xml:space="preserve">. Данные регионы различны по своей специализации (большинство развивается в аграрном направлении, </w:t>
      </w:r>
      <w:proofErr w:type="spellStart"/>
      <w:r w:rsidRPr="00F076B7">
        <w:rPr>
          <w:rFonts w:ascii="Arial" w:eastAsia="Times New Roman" w:hAnsi="Arial" w:cs="Arial"/>
          <w:color w:val="212529"/>
          <w:sz w:val="24"/>
          <w:szCs w:val="24"/>
          <w:lang w:eastAsia="ru-RU"/>
        </w:rPr>
        <w:t>Браславский</w:t>
      </w:r>
      <w:proofErr w:type="spellEnd"/>
      <w:r w:rsidRPr="00F076B7">
        <w:rPr>
          <w:rFonts w:ascii="Arial" w:eastAsia="Times New Roman" w:hAnsi="Arial" w:cs="Arial"/>
          <w:color w:val="212529"/>
          <w:sz w:val="24"/>
          <w:szCs w:val="24"/>
          <w:lang w:eastAsia="ru-RU"/>
        </w:rPr>
        <w:t xml:space="preserve"> район – рекреационный, Полоцкий, Волковысский, Лидский, </w:t>
      </w:r>
      <w:proofErr w:type="spellStart"/>
      <w:r w:rsidRPr="00F076B7">
        <w:rPr>
          <w:rFonts w:ascii="Arial" w:eastAsia="Times New Roman" w:hAnsi="Arial" w:cs="Arial"/>
          <w:color w:val="212529"/>
          <w:sz w:val="24"/>
          <w:szCs w:val="24"/>
          <w:lang w:eastAsia="ru-RU"/>
        </w:rPr>
        <w:t>Новогрудский</w:t>
      </w:r>
      <w:proofErr w:type="spellEnd"/>
      <w:r w:rsidRPr="00F076B7">
        <w:rPr>
          <w:rFonts w:ascii="Arial" w:eastAsia="Times New Roman" w:hAnsi="Arial" w:cs="Arial"/>
          <w:color w:val="212529"/>
          <w:sz w:val="24"/>
          <w:szCs w:val="24"/>
          <w:lang w:eastAsia="ru-RU"/>
        </w:rPr>
        <w:t xml:space="preserve"> и </w:t>
      </w:r>
      <w:proofErr w:type="spellStart"/>
      <w:r w:rsidRPr="00F076B7">
        <w:rPr>
          <w:rFonts w:ascii="Arial" w:eastAsia="Times New Roman" w:hAnsi="Arial" w:cs="Arial"/>
          <w:color w:val="212529"/>
          <w:sz w:val="24"/>
          <w:szCs w:val="24"/>
          <w:lang w:eastAsia="ru-RU"/>
        </w:rPr>
        <w:t>Сморгонский</w:t>
      </w:r>
      <w:proofErr w:type="spellEnd"/>
      <w:r w:rsidRPr="00F076B7">
        <w:rPr>
          <w:rFonts w:ascii="Arial" w:eastAsia="Times New Roman" w:hAnsi="Arial" w:cs="Arial"/>
          <w:color w:val="212529"/>
          <w:sz w:val="24"/>
          <w:szCs w:val="24"/>
          <w:lang w:eastAsia="ru-RU"/>
        </w:rPr>
        <w:t xml:space="preserve"> </w:t>
      </w:r>
      <w:r w:rsidRPr="00F076B7">
        <w:rPr>
          <w:rFonts w:ascii="Arial" w:eastAsia="Times New Roman" w:hAnsi="Arial" w:cs="Arial"/>
          <w:color w:val="212529"/>
          <w:sz w:val="24"/>
          <w:szCs w:val="24"/>
          <w:lang w:eastAsia="ru-RU"/>
        </w:rPr>
        <w:lastRenderedPageBreak/>
        <w:t xml:space="preserve">районы имеют промышленную специализацию), но объединены значительным туристическим потенциалом. Поэтому в приоритете – 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F076B7">
        <w:rPr>
          <w:rFonts w:ascii="Arial" w:eastAsia="Times New Roman" w:hAnsi="Arial" w:cs="Arial"/>
          <w:color w:val="212529"/>
          <w:sz w:val="24"/>
          <w:szCs w:val="24"/>
          <w:lang w:eastAsia="ru-RU"/>
        </w:rPr>
        <w:t>Принеманского</w:t>
      </w:r>
      <w:proofErr w:type="spellEnd"/>
      <w:r w:rsidRPr="00F076B7">
        <w:rPr>
          <w:rFonts w:ascii="Arial" w:eastAsia="Times New Roman" w:hAnsi="Arial" w:cs="Arial"/>
          <w:color w:val="212529"/>
          <w:sz w:val="24"/>
          <w:szCs w:val="24"/>
          <w:lang w:eastAsia="ru-RU"/>
        </w:rPr>
        <w:t xml:space="preserve"> края – развитие потенциала промышленного туризма.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новой пятилетке особое внимание уделено 7 районам </w:t>
      </w:r>
      <w:r w:rsidRPr="00F076B7">
        <w:rPr>
          <w:rFonts w:ascii="Arial" w:eastAsia="Times New Roman" w:hAnsi="Arial" w:cs="Arial"/>
          <w:b/>
          <w:bCs/>
          <w:color w:val="212529"/>
          <w:sz w:val="24"/>
          <w:szCs w:val="24"/>
          <w:lang w:eastAsia="ru-RU"/>
        </w:rPr>
        <w:t>юго-восточного региона</w:t>
      </w:r>
      <w:r w:rsidRPr="00F076B7">
        <w:rPr>
          <w:rFonts w:ascii="Arial" w:eastAsia="Times New Roman" w:hAnsi="Arial" w:cs="Arial"/>
          <w:color w:val="212529"/>
          <w:sz w:val="24"/>
          <w:szCs w:val="24"/>
          <w:lang w:eastAsia="ru-RU"/>
        </w:rPr>
        <w:t> </w:t>
      </w:r>
      <w:r w:rsidRPr="00F076B7">
        <w:rPr>
          <w:rFonts w:ascii="Arial" w:eastAsia="Times New Roman" w:hAnsi="Arial" w:cs="Arial"/>
          <w:b/>
          <w:bCs/>
          <w:color w:val="212529"/>
          <w:sz w:val="24"/>
          <w:szCs w:val="24"/>
          <w:lang w:eastAsia="ru-RU"/>
        </w:rPr>
        <w:t>Могилевской области</w:t>
      </w:r>
      <w:r w:rsidRPr="00F076B7">
        <w:rPr>
          <w:rFonts w:ascii="Arial" w:eastAsia="Times New Roman" w:hAnsi="Arial" w:cs="Arial"/>
          <w:color w:val="212529"/>
          <w:sz w:val="24"/>
          <w:szCs w:val="24"/>
          <w:lang w:eastAsia="ru-RU"/>
        </w:rPr>
        <w:t xml:space="preserve"> (Кричевский, </w:t>
      </w:r>
      <w:proofErr w:type="spellStart"/>
      <w:r w:rsidRPr="00F076B7">
        <w:rPr>
          <w:rFonts w:ascii="Arial" w:eastAsia="Times New Roman" w:hAnsi="Arial" w:cs="Arial"/>
          <w:color w:val="212529"/>
          <w:sz w:val="24"/>
          <w:szCs w:val="24"/>
          <w:lang w:eastAsia="ru-RU"/>
        </w:rPr>
        <w:t>Климовичский</w:t>
      </w:r>
      <w:proofErr w:type="spellEnd"/>
      <w:r w:rsidRPr="00F076B7">
        <w:rPr>
          <w:rFonts w:ascii="Arial" w:eastAsia="Times New Roman" w:hAnsi="Arial" w:cs="Arial"/>
          <w:color w:val="212529"/>
          <w:sz w:val="24"/>
          <w:szCs w:val="24"/>
          <w:lang w:eastAsia="ru-RU"/>
        </w:rPr>
        <w:t xml:space="preserve">, Краснопольский, </w:t>
      </w:r>
      <w:proofErr w:type="spellStart"/>
      <w:r w:rsidRPr="00F076B7">
        <w:rPr>
          <w:rFonts w:ascii="Arial" w:eastAsia="Times New Roman" w:hAnsi="Arial" w:cs="Arial"/>
          <w:color w:val="212529"/>
          <w:sz w:val="24"/>
          <w:szCs w:val="24"/>
          <w:lang w:eastAsia="ru-RU"/>
        </w:rPr>
        <w:t>Костюковичский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Славгородский</w:t>
      </w:r>
      <w:proofErr w:type="spellEnd"/>
      <w:r w:rsidRPr="00F076B7">
        <w:rPr>
          <w:rFonts w:ascii="Arial" w:eastAsia="Times New Roman" w:hAnsi="Arial" w:cs="Arial"/>
          <w:color w:val="212529"/>
          <w:sz w:val="24"/>
          <w:szCs w:val="24"/>
          <w:lang w:eastAsia="ru-RU"/>
        </w:rPr>
        <w:t xml:space="preserve">, </w:t>
      </w:r>
      <w:proofErr w:type="spellStart"/>
      <w:r w:rsidRPr="00F076B7">
        <w:rPr>
          <w:rFonts w:ascii="Arial" w:eastAsia="Times New Roman" w:hAnsi="Arial" w:cs="Arial"/>
          <w:color w:val="212529"/>
          <w:sz w:val="24"/>
          <w:szCs w:val="24"/>
          <w:lang w:eastAsia="ru-RU"/>
        </w:rPr>
        <w:t>Чериковский</w:t>
      </w:r>
      <w:proofErr w:type="spellEnd"/>
      <w:r w:rsidRPr="00F076B7">
        <w:rPr>
          <w:rFonts w:ascii="Arial" w:eastAsia="Times New Roman" w:hAnsi="Arial" w:cs="Arial"/>
          <w:color w:val="212529"/>
          <w:sz w:val="24"/>
          <w:szCs w:val="24"/>
          <w:lang w:eastAsia="ru-RU"/>
        </w:rPr>
        <w:t xml:space="preserve"> и </w:t>
      </w:r>
      <w:proofErr w:type="spellStart"/>
      <w:r w:rsidRPr="00F076B7">
        <w:rPr>
          <w:rFonts w:ascii="Arial" w:eastAsia="Times New Roman" w:hAnsi="Arial" w:cs="Arial"/>
          <w:color w:val="212529"/>
          <w:sz w:val="24"/>
          <w:szCs w:val="24"/>
          <w:lang w:eastAsia="ru-RU"/>
        </w:rPr>
        <w:t>Хотимский</w:t>
      </w:r>
      <w:proofErr w:type="spellEnd"/>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Для </w:t>
      </w:r>
      <w:r w:rsidRPr="00F076B7">
        <w:rPr>
          <w:rFonts w:ascii="Arial" w:eastAsia="Times New Roman" w:hAnsi="Arial" w:cs="Arial"/>
          <w:b/>
          <w:bCs/>
          <w:color w:val="212529"/>
          <w:sz w:val="24"/>
          <w:szCs w:val="24"/>
          <w:lang w:eastAsia="ru-RU"/>
        </w:rPr>
        <w:t>Минской области</w:t>
      </w:r>
      <w:r w:rsidRPr="00F076B7">
        <w:rPr>
          <w:rFonts w:ascii="Arial" w:eastAsia="Times New Roman" w:hAnsi="Arial" w:cs="Arial"/>
          <w:color w:val="212529"/>
          <w:sz w:val="24"/>
          <w:szCs w:val="24"/>
          <w:lang w:eastAsia="ru-RU"/>
        </w:rPr>
        <w:t> основной акцент на формировании и развитии </w:t>
      </w:r>
      <w:r w:rsidRPr="00F076B7">
        <w:rPr>
          <w:rFonts w:ascii="Arial" w:eastAsia="Times New Roman" w:hAnsi="Arial" w:cs="Arial"/>
          <w:b/>
          <w:bCs/>
          <w:color w:val="212529"/>
          <w:sz w:val="24"/>
          <w:szCs w:val="24"/>
          <w:lang w:eastAsia="ru-RU"/>
        </w:rPr>
        <w:t>Минского промышленного пояса</w:t>
      </w:r>
      <w:r w:rsidRPr="00F076B7">
        <w:rPr>
          <w:rFonts w:ascii="Arial" w:eastAsia="Times New Roman" w:hAnsi="Arial" w:cs="Arial"/>
          <w:color w:val="212529"/>
          <w:sz w:val="24"/>
          <w:szCs w:val="24"/>
          <w:lang w:eastAsia="ru-RU"/>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proofErr w:type="gramStart"/>
      <w:r w:rsidRPr="00F076B7">
        <w:rPr>
          <w:rFonts w:ascii="Arial" w:eastAsia="Times New Roman" w:hAnsi="Arial" w:cs="Arial"/>
          <w:color w:val="212529"/>
          <w:sz w:val="24"/>
          <w:szCs w:val="24"/>
          <w:lang w:eastAsia="ru-RU"/>
        </w:rPr>
        <w:t>Для </w:t>
      </w:r>
      <w:r w:rsidRPr="00F076B7">
        <w:rPr>
          <w:rFonts w:ascii="Arial" w:eastAsia="Times New Roman" w:hAnsi="Arial" w:cs="Arial"/>
          <w:b/>
          <w:bCs/>
          <w:color w:val="212529"/>
          <w:sz w:val="24"/>
          <w:szCs w:val="24"/>
          <w:lang w:eastAsia="ru-RU"/>
        </w:rPr>
        <w:t>города Минска</w:t>
      </w:r>
      <w:r w:rsidRPr="00F076B7">
        <w:rPr>
          <w:rFonts w:ascii="Arial" w:eastAsia="Times New Roman" w:hAnsi="Arial" w:cs="Arial"/>
          <w:color w:val="212529"/>
          <w:sz w:val="24"/>
          <w:szCs w:val="24"/>
          <w:lang w:eastAsia="ru-RU"/>
        </w:rPr>
        <w:t> определены ряд задач, отражающих его уникальность:</w:t>
      </w:r>
      <w:proofErr w:type="gramEnd"/>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промышленности – создание наукоемких, высокотехнологичных, компактных производств за счет внедрения отечественных научно-технических разработок в сфере машиностроения, электротранспорта, фармацевтики;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в сфере </w:t>
      </w:r>
      <w:proofErr w:type="spellStart"/>
      <w:r w:rsidRPr="00F076B7">
        <w:rPr>
          <w:rFonts w:ascii="Arial" w:eastAsia="Times New Roman" w:hAnsi="Arial" w:cs="Arial"/>
          <w:color w:val="212529"/>
          <w:sz w:val="24"/>
          <w:szCs w:val="24"/>
          <w:lang w:eastAsia="ru-RU"/>
        </w:rPr>
        <w:t>цифровизации</w:t>
      </w:r>
      <w:proofErr w:type="spellEnd"/>
      <w:r w:rsidRPr="00F076B7">
        <w:rPr>
          <w:rFonts w:ascii="Arial" w:eastAsia="Times New Roman" w:hAnsi="Arial" w:cs="Arial"/>
          <w:color w:val="212529"/>
          <w:sz w:val="24"/>
          <w:szCs w:val="24"/>
          <w:lang w:eastAsia="ru-RU"/>
        </w:rPr>
        <w:t> – внедрение и дальнейшее развитие цифровых платформ, информационных систем и ресурсов, технологий «умного города», в том числе в медицине;</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области кадровой политики – подготовка кадров на опережение запросов экономики, особенно в перспективных направлениях;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сфере туризма – вовлечение всех составляющих, особенно творческих – культура, медиа, архитектура.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Развитие </w:t>
      </w:r>
      <w:r w:rsidRPr="00F076B7">
        <w:rPr>
          <w:rFonts w:ascii="Arial" w:eastAsia="Times New Roman" w:hAnsi="Arial" w:cs="Arial"/>
          <w:b/>
          <w:bCs/>
          <w:color w:val="212529"/>
          <w:sz w:val="24"/>
          <w:szCs w:val="24"/>
          <w:lang w:eastAsia="ru-RU"/>
        </w:rPr>
        <w:t>городов-спутников г. Минска</w:t>
      </w:r>
      <w:r w:rsidRPr="00F076B7">
        <w:rPr>
          <w:rFonts w:ascii="Arial" w:eastAsia="Times New Roman" w:hAnsi="Arial" w:cs="Arial"/>
          <w:color w:val="212529"/>
          <w:sz w:val="24"/>
          <w:szCs w:val="24"/>
          <w:lang w:eastAsia="ru-RU"/>
        </w:rPr>
        <w:t> увязано в Программе 2026–2030 гг. с развитием столицы, в том числе для поддержки главного города страны рабочей силой за счет маятниковой миграции.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результате реализации задач приоритета «сильные регионы» будут обеспечены:</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рост реальной заработной платы – не менее чем в 1,2 раза за пятилетие;</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рост инвестиций в основной капитал – на 16,7 %.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текущей пятилетке продолжена работа по </w:t>
      </w:r>
      <w:r w:rsidRPr="00F076B7">
        <w:rPr>
          <w:rFonts w:ascii="Arial" w:eastAsia="Times New Roman" w:hAnsi="Arial" w:cs="Arial"/>
          <w:b/>
          <w:bCs/>
          <w:color w:val="212529"/>
          <w:sz w:val="24"/>
          <w:szCs w:val="24"/>
          <w:lang w:eastAsia="ru-RU"/>
        </w:rPr>
        <w:t>развитию качественной и удобной среды для жизни</w:t>
      </w:r>
      <w:r w:rsidRPr="00F076B7">
        <w:rPr>
          <w:rFonts w:ascii="Arial" w:eastAsia="Times New Roman" w:hAnsi="Arial" w:cs="Arial"/>
          <w:color w:val="212529"/>
          <w:sz w:val="24"/>
          <w:szCs w:val="24"/>
          <w:lang w:eastAsia="ru-RU"/>
        </w:rPr>
        <w:t xml:space="preserve"> как одного из приоритетов Программы с целью создания инфраструктуры для комфортной жизни в любой точке страны. Механизмы реализации – государственные программы социальной направленности. Среди основных направлений </w:t>
      </w:r>
      <w:proofErr w:type="gramStart"/>
      <w:r w:rsidRPr="00F076B7">
        <w:rPr>
          <w:rFonts w:ascii="Arial" w:eastAsia="Times New Roman" w:hAnsi="Arial" w:cs="Arial"/>
          <w:color w:val="212529"/>
          <w:sz w:val="24"/>
          <w:szCs w:val="24"/>
          <w:lang w:eastAsia="ru-RU"/>
        </w:rPr>
        <w:t>определены</w:t>
      </w:r>
      <w:proofErr w:type="gramEnd"/>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При этом сделан акцент на развитии рынка арендного жилья 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специальностей и др.).</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 xml:space="preserve">За 2026–2030 гг. запланировано ввести арендного жилья в размере 5 </w:t>
      </w:r>
      <w:proofErr w:type="gramStart"/>
      <w:r w:rsidRPr="00F076B7">
        <w:rPr>
          <w:rFonts w:ascii="Arial" w:eastAsia="Times New Roman" w:hAnsi="Arial" w:cs="Arial"/>
          <w:i/>
          <w:iCs/>
          <w:color w:val="212529"/>
          <w:sz w:val="24"/>
          <w:szCs w:val="24"/>
          <w:lang w:eastAsia="ru-RU"/>
        </w:rPr>
        <w:t>млн</w:t>
      </w:r>
      <w:proofErr w:type="gramEnd"/>
      <w:r w:rsidRPr="00F076B7">
        <w:rPr>
          <w:rFonts w:ascii="Arial" w:eastAsia="Times New Roman" w:hAnsi="Arial" w:cs="Arial"/>
          <w:i/>
          <w:iCs/>
          <w:color w:val="212529"/>
          <w:sz w:val="24"/>
          <w:szCs w:val="24"/>
          <w:lang w:eastAsia="ru-RU"/>
        </w:rPr>
        <w:t xml:space="preserve"> кв. м (рост к предыдущей пятилетке в 3,3 раза), из них в 2026 году – 650 тыс. кв. м арендного жилья, что будет способствовать дальнейшему привлечению и закреплению населения в регионах.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lastRenderedPageBreak/>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В результате – обеспеченность населения жильем в расчете на одного жителя увеличится </w:t>
      </w:r>
      <w:proofErr w:type="gramStart"/>
      <w:r w:rsidRPr="00F076B7">
        <w:rPr>
          <w:rFonts w:ascii="Arial" w:eastAsia="Times New Roman" w:hAnsi="Arial" w:cs="Arial"/>
          <w:color w:val="212529"/>
          <w:sz w:val="24"/>
          <w:szCs w:val="24"/>
          <w:lang w:eastAsia="ru-RU"/>
        </w:rPr>
        <w:t>до</w:t>
      </w:r>
      <w:proofErr w:type="gramEnd"/>
      <w:r w:rsidRPr="00F076B7">
        <w:rPr>
          <w:rFonts w:ascii="Arial" w:eastAsia="Times New Roman" w:hAnsi="Arial" w:cs="Arial"/>
          <w:color w:val="212529"/>
          <w:sz w:val="24"/>
          <w:szCs w:val="24"/>
          <w:lang w:eastAsia="ru-RU"/>
        </w:rPr>
        <w:t xml:space="preserve"> не менее 33 кв. м;</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2. Улучшение состояния дорог: за пятилетку предусматривается возведение, реконструкция и ремонт не менее 25 тыс. км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w:t>
      </w:r>
      <w:proofErr w:type="spellStart"/>
      <w:r w:rsidRPr="00F076B7">
        <w:rPr>
          <w:rFonts w:ascii="Arial" w:eastAsia="Times New Roman" w:hAnsi="Arial" w:cs="Arial"/>
          <w:color w:val="212529"/>
          <w:sz w:val="24"/>
          <w:szCs w:val="24"/>
          <w:lang w:eastAsia="ru-RU"/>
        </w:rPr>
        <w:t>агрогородкам</w:t>
      </w:r>
      <w:proofErr w:type="spellEnd"/>
      <w:r w:rsidRPr="00F076B7">
        <w:rPr>
          <w:rFonts w:ascii="Arial" w:eastAsia="Times New Roman" w:hAnsi="Arial" w:cs="Arial"/>
          <w:color w:val="212529"/>
          <w:sz w:val="24"/>
          <w:szCs w:val="24"/>
          <w:lang w:eastAsia="ru-RU"/>
        </w:rPr>
        <w:t xml:space="preserve"> по кратчайшему маршруту.</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В результате будут созданы «быстрые» дорожные связки «</w:t>
      </w:r>
      <w:proofErr w:type="spellStart"/>
      <w:r w:rsidRPr="00F076B7">
        <w:rPr>
          <w:rFonts w:ascii="Arial" w:eastAsia="Times New Roman" w:hAnsi="Arial" w:cs="Arial"/>
          <w:color w:val="212529"/>
          <w:sz w:val="24"/>
          <w:szCs w:val="24"/>
          <w:lang w:eastAsia="ru-RU"/>
        </w:rPr>
        <w:t>агрогородок</w:t>
      </w:r>
      <w:proofErr w:type="spellEnd"/>
      <w:r w:rsidRPr="00F076B7">
        <w:rPr>
          <w:rFonts w:ascii="Arial" w:eastAsia="Times New Roman" w:hAnsi="Arial" w:cs="Arial"/>
          <w:color w:val="212529"/>
          <w:sz w:val="24"/>
          <w:szCs w:val="24"/>
          <w:lang w:eastAsia="ru-RU"/>
        </w:rPr>
        <w:t> – административный центр района – административный центр области»;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3. Развитие регионального транспортного сообщения за счет обеспечения скоростного сообщения между населенными пунктами, </w:t>
      </w:r>
      <w:proofErr w:type="spellStart"/>
      <w:r w:rsidRPr="00F076B7">
        <w:rPr>
          <w:rFonts w:ascii="Arial" w:eastAsia="Times New Roman" w:hAnsi="Arial" w:cs="Arial"/>
          <w:color w:val="212529"/>
          <w:sz w:val="24"/>
          <w:szCs w:val="24"/>
          <w:lang w:eastAsia="ru-RU"/>
        </w:rPr>
        <w:t>цифровизации</w:t>
      </w:r>
      <w:proofErr w:type="spellEnd"/>
      <w:r w:rsidRPr="00F076B7">
        <w:rPr>
          <w:rFonts w:ascii="Arial" w:eastAsia="Times New Roman" w:hAnsi="Arial" w:cs="Arial"/>
          <w:color w:val="212529"/>
          <w:sz w:val="24"/>
          <w:szCs w:val="24"/>
          <w:lang w:eastAsia="ru-RU"/>
        </w:rPr>
        <w:t xml:space="preserve">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w:t>
      </w:r>
      <w:proofErr w:type="gramStart"/>
      <w:r w:rsidRPr="00F076B7">
        <w:rPr>
          <w:rFonts w:ascii="Arial" w:eastAsia="Times New Roman" w:hAnsi="Arial" w:cs="Arial"/>
          <w:color w:val="212529"/>
          <w:sz w:val="24"/>
          <w:szCs w:val="24"/>
          <w:lang w:eastAsia="ru-RU"/>
        </w:rPr>
        <w:t>ств с пл</w:t>
      </w:r>
      <w:proofErr w:type="gramEnd"/>
      <w:r w:rsidRPr="00F076B7">
        <w:rPr>
          <w:rFonts w:ascii="Arial" w:eastAsia="Times New Roman" w:hAnsi="Arial" w:cs="Arial"/>
          <w:color w:val="212529"/>
          <w:sz w:val="24"/>
          <w:szCs w:val="24"/>
          <w:lang w:eastAsia="ru-RU"/>
        </w:rPr>
        <w:t>ощадками для спортивно-культурных мероприятий, арт-объектами и местами для времяпровождения молодежи.</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both"/>
        <w:rPr>
          <w:rFonts w:ascii="Arial" w:eastAsia="Times New Roman" w:hAnsi="Arial" w:cs="Arial"/>
          <w:color w:val="212529"/>
          <w:sz w:val="24"/>
          <w:szCs w:val="24"/>
          <w:lang w:eastAsia="ru-RU"/>
        </w:rPr>
      </w:pPr>
      <w:r w:rsidRPr="00F076B7">
        <w:rPr>
          <w:rFonts w:ascii="Arial" w:eastAsia="Times New Roman" w:hAnsi="Arial" w:cs="Arial"/>
          <w:b/>
          <w:bCs/>
          <w:i/>
          <w:iCs/>
          <w:color w:val="212529"/>
          <w:sz w:val="24"/>
          <w:szCs w:val="24"/>
          <w:lang w:eastAsia="ru-RU"/>
        </w:rPr>
        <w:t>Справочно: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i/>
          <w:iCs/>
          <w:color w:val="212529"/>
          <w:sz w:val="24"/>
          <w:szCs w:val="24"/>
          <w:lang w:eastAsia="ru-RU"/>
        </w:rPr>
        <w:t xml:space="preserve">В текущем пятилетии запланировано проведение капитального ремонта не менее 11 % жилых домов. К 2031 году обеспеченность населения централизованными системами водоснабжения и водоотведения увеличится </w:t>
      </w:r>
      <w:proofErr w:type="gramStart"/>
      <w:r w:rsidRPr="00F076B7">
        <w:rPr>
          <w:rFonts w:ascii="Arial" w:eastAsia="Times New Roman" w:hAnsi="Arial" w:cs="Arial"/>
          <w:i/>
          <w:iCs/>
          <w:color w:val="212529"/>
          <w:sz w:val="24"/>
          <w:szCs w:val="24"/>
          <w:lang w:eastAsia="ru-RU"/>
        </w:rPr>
        <w:t>до</w:t>
      </w:r>
      <w:proofErr w:type="gramEnd"/>
      <w:r w:rsidRPr="00F076B7">
        <w:rPr>
          <w:rFonts w:ascii="Arial" w:eastAsia="Times New Roman" w:hAnsi="Arial" w:cs="Arial"/>
          <w:i/>
          <w:iCs/>
          <w:color w:val="212529"/>
          <w:sz w:val="24"/>
          <w:szCs w:val="24"/>
          <w:lang w:eastAsia="ru-RU"/>
        </w:rPr>
        <w:t xml:space="preserve"> не менее 96 и 83 % соответственно.</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 бюджета.</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jc w:val="center"/>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Сочетание общих и точечно ориентированных на конкретный регион подходов в 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 xml:space="preserve">Такие подходы обеспечивают поступательное продвижение в реализации установки Главы государства </w:t>
      </w:r>
      <w:proofErr w:type="spellStart"/>
      <w:r w:rsidRPr="00F076B7">
        <w:rPr>
          <w:rFonts w:ascii="Arial" w:eastAsia="Times New Roman" w:hAnsi="Arial" w:cs="Arial"/>
          <w:color w:val="212529"/>
          <w:sz w:val="24"/>
          <w:szCs w:val="24"/>
          <w:lang w:eastAsia="ru-RU"/>
        </w:rPr>
        <w:t>А.Г.Лукашенко</w:t>
      </w:r>
      <w:proofErr w:type="spellEnd"/>
      <w:r w:rsidRPr="00F076B7">
        <w:rPr>
          <w:rFonts w:ascii="Arial" w:eastAsia="Times New Roman" w:hAnsi="Arial" w:cs="Arial"/>
          <w:color w:val="212529"/>
          <w:sz w:val="24"/>
          <w:szCs w:val="24"/>
          <w:lang w:eastAsia="ru-RU"/>
        </w:rPr>
        <w:t>: </w:t>
      </w:r>
      <w:r w:rsidRPr="00F076B7">
        <w:rPr>
          <w:rFonts w:ascii="Arial" w:eastAsia="Times New Roman" w:hAnsi="Arial" w:cs="Arial"/>
          <w:b/>
          <w:bCs/>
          <w:i/>
          <w:iCs/>
          <w:color w:val="212529"/>
          <w:sz w:val="24"/>
          <w:szCs w:val="24"/>
          <w:lang w:eastAsia="ru-RU"/>
        </w:rPr>
        <w:t>«…Мы</w:t>
      </w:r>
      <w:r w:rsidRPr="00F076B7">
        <w:rPr>
          <w:rFonts w:ascii="Arial" w:eastAsia="Times New Roman" w:hAnsi="Arial" w:cs="Arial"/>
          <w:color w:val="212529"/>
          <w:sz w:val="24"/>
          <w:szCs w:val="24"/>
          <w:lang w:eastAsia="ru-RU"/>
        </w:rPr>
        <w:t> </w:t>
      </w:r>
      <w:r w:rsidRPr="00F076B7">
        <w:rPr>
          <w:rFonts w:ascii="Arial" w:eastAsia="Times New Roman" w:hAnsi="Arial" w:cs="Arial"/>
          <w:b/>
          <w:bCs/>
          <w:i/>
          <w:iCs/>
          <w:color w:val="212529"/>
          <w:sz w:val="24"/>
          <w:szCs w:val="24"/>
          <w:lang w:eastAsia="ru-RU"/>
        </w:rPr>
        <w:t>всегда следовали принципу: в любом месте Беларуси каждому человеку должно быть одинаково комфортно. Не должно быть разрыва между городом и селом, столицей и регионом. Все наши территории должны развиваться равномерно»</w:t>
      </w:r>
      <w:r w:rsidRPr="00F076B7">
        <w:rPr>
          <w:rFonts w:ascii="Arial" w:eastAsia="Times New Roman" w:hAnsi="Arial" w:cs="Arial"/>
          <w:color w:val="212529"/>
          <w:sz w:val="24"/>
          <w:szCs w:val="24"/>
          <w:lang w:eastAsia="ru-RU"/>
        </w:rPr>
        <w:t>.</w:t>
      </w:r>
    </w:p>
    <w:p w:rsidR="00F076B7" w:rsidRPr="00F076B7" w:rsidRDefault="00F076B7" w:rsidP="00F076B7">
      <w:pPr>
        <w:shd w:val="clear" w:color="auto" w:fill="FFFFFF"/>
        <w:spacing w:after="0" w:line="240" w:lineRule="auto"/>
        <w:ind w:firstLine="567"/>
        <w:jc w:val="both"/>
        <w:rPr>
          <w:rFonts w:ascii="Arial" w:eastAsia="Times New Roman" w:hAnsi="Arial" w:cs="Arial"/>
          <w:color w:val="212529"/>
          <w:sz w:val="24"/>
          <w:szCs w:val="24"/>
          <w:lang w:eastAsia="ru-RU"/>
        </w:rPr>
      </w:pPr>
      <w:r w:rsidRPr="00F076B7">
        <w:rPr>
          <w:rFonts w:ascii="Arial" w:eastAsia="Times New Roman" w:hAnsi="Arial" w:cs="Arial"/>
          <w:color w:val="212529"/>
          <w:sz w:val="24"/>
          <w:szCs w:val="24"/>
          <w:lang w:eastAsia="ru-RU"/>
        </w:rPr>
        <w:t>Реализация задач приоритета «сильные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современных предприятиях, получать достойную зарплату, обзавестись жильем, создать семью, растить детей, иметь доступ ко всему спектру социальной инфраструктуры.</w:t>
      </w:r>
    </w:p>
    <w:p w:rsidR="00DB2E54" w:rsidRDefault="00983F2C"/>
    <w:sectPr w:rsidR="00DB2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B7"/>
    <w:rsid w:val="009205F6"/>
    <w:rsid w:val="00983F2C"/>
    <w:rsid w:val="00C75ADF"/>
    <w:rsid w:val="00F0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0522">
      <w:bodyDiv w:val="1"/>
      <w:marLeft w:val="0"/>
      <w:marRight w:val="0"/>
      <w:marTop w:val="0"/>
      <w:marBottom w:val="0"/>
      <w:divBdr>
        <w:top w:val="none" w:sz="0" w:space="0" w:color="auto"/>
        <w:left w:val="none" w:sz="0" w:space="0" w:color="auto"/>
        <w:bottom w:val="none" w:sz="0" w:space="0" w:color="auto"/>
        <w:right w:val="none" w:sz="0" w:space="0" w:color="auto"/>
      </w:divBdr>
      <w:divsChild>
        <w:div w:id="329412790">
          <w:marLeft w:val="0"/>
          <w:marRight w:val="0"/>
          <w:marTop w:val="0"/>
          <w:marBottom w:val="0"/>
          <w:divBdr>
            <w:top w:val="none" w:sz="0" w:space="0" w:color="auto"/>
            <w:left w:val="none" w:sz="0" w:space="0" w:color="auto"/>
            <w:bottom w:val="none" w:sz="0" w:space="0" w:color="auto"/>
            <w:right w:val="none" w:sz="0" w:space="0" w:color="auto"/>
          </w:divBdr>
          <w:divsChild>
            <w:div w:id="1675838466">
              <w:marLeft w:val="0"/>
              <w:marRight w:val="0"/>
              <w:marTop w:val="0"/>
              <w:marBottom w:val="0"/>
              <w:divBdr>
                <w:top w:val="none" w:sz="0" w:space="0" w:color="auto"/>
                <w:left w:val="none" w:sz="0" w:space="0" w:color="auto"/>
                <w:bottom w:val="none" w:sz="0" w:space="0" w:color="auto"/>
                <w:right w:val="none" w:sz="0" w:space="0" w:color="auto"/>
              </w:divBdr>
            </w:div>
          </w:divsChild>
        </w:div>
        <w:div w:id="1606884514">
          <w:marLeft w:val="0"/>
          <w:marRight w:val="0"/>
          <w:marTop w:val="0"/>
          <w:marBottom w:val="0"/>
          <w:divBdr>
            <w:top w:val="none" w:sz="0" w:space="0" w:color="auto"/>
            <w:left w:val="none" w:sz="0" w:space="0" w:color="auto"/>
            <w:bottom w:val="none" w:sz="0" w:space="0" w:color="auto"/>
            <w:right w:val="none" w:sz="0" w:space="0" w:color="auto"/>
          </w:divBdr>
          <w:divsChild>
            <w:div w:id="3826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alonline.by/webnpa/text.asp?RN=P925V00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talonline.by/webnpa/text.asp?RN=C22401072" TargetMode="External"/><Relationship Id="rId5" Type="http://schemas.openxmlformats.org/officeDocument/2006/relationships/hyperlink" Target="https://etalonline.by/webnpa/text.asp?RN=P321002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Пользователь Windows</cp:lastModifiedBy>
  <cp:revision>2</cp:revision>
  <dcterms:created xsi:type="dcterms:W3CDTF">2026-05-26T08:30:00Z</dcterms:created>
  <dcterms:modified xsi:type="dcterms:W3CDTF">2026-05-26T08:34:00Z</dcterms:modified>
</cp:coreProperties>
</file>